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10728080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2520"/>
          </w:tblGrid>
          <w:tr w:rsidR="006D2F0F" w:rsidRPr="0077543F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C0C0C0" w:themeColor="background1"/>
                </w:tcBorders>
                <w:shd w:val="clear" w:color="auto" w:fill="262698" w:themeFill="accent2" w:themeFillShade="BF"/>
              </w:tcPr>
              <w:p w:rsidR="006D2F0F" w:rsidRPr="0077543F" w:rsidRDefault="006D2F0F">
                <w:pPr>
                  <w:rPr>
                    <w:rFonts w:ascii="Times New Roman" w:hAnsi="Times New Roman" w:cs="Times New Roman"/>
                  </w:rPr>
                </w:pPr>
              </w:p>
            </w:tc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olor w:val="C0C0C0" w:themeColor="background1"/>
                  <w:sz w:val="72"/>
                  <w:szCs w:val="72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0-01-01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C0C0C0" w:themeColor="background1"/>
                    </w:tcBorders>
                    <w:shd w:val="clear" w:color="auto" w:fill="262698" w:themeFill="accent2" w:themeFillShade="BF"/>
                    <w:vAlign w:val="bottom"/>
                  </w:tcPr>
                  <w:p w:rsidR="006D2F0F" w:rsidRPr="0077543F" w:rsidRDefault="00787A6E" w:rsidP="00787A6E">
                    <w:pPr>
                      <w:pStyle w:val="Bezmezer"/>
                      <w:rPr>
                        <w:rFonts w:ascii="Times New Roman" w:eastAsiaTheme="majorEastAsia" w:hAnsi="Times New Roman" w:cs="Times New Roman"/>
                        <w:b/>
                        <w:bCs/>
                        <w:color w:val="C0C0C0" w:themeColor="background1"/>
                        <w:sz w:val="72"/>
                        <w:szCs w:val="72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bCs/>
                        <w:color w:val="C0C0C0" w:themeColor="background1"/>
                        <w:sz w:val="72"/>
                        <w:szCs w:val="72"/>
                      </w:rPr>
                      <w:t>2010</w:t>
                    </w:r>
                  </w:p>
                </w:tc>
              </w:sdtContent>
            </w:sdt>
          </w:tr>
          <w:tr w:rsidR="006D2F0F" w:rsidRPr="0077543F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6D2F0F" w:rsidRPr="00D51782" w:rsidRDefault="006D2F0F">
                <w:pPr>
                  <w:rPr>
                    <w:rFonts w:ascii="Times New Roman" w:hAnsi="Times New Roman" w:cs="Times New Roman"/>
                    <w:color w:val="00664C" w:themeColor="accent1" w:themeShade="80"/>
                    <w:sz w:val="24"/>
                    <w:szCs w:val="24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color w:val="00664C" w:themeColor="accent1" w:themeShade="80"/>
                    <w:sz w:val="24"/>
                    <w:szCs w:val="24"/>
                  </w:rPr>
                  <w:alias w:val="Company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6D2F0F" w:rsidRPr="00D51782" w:rsidRDefault="006D2F0F">
                    <w:pPr>
                      <w:pStyle w:val="Bezmezer"/>
                      <w:rPr>
                        <w:rFonts w:ascii="Times New Roman" w:hAnsi="Times New Roman" w:cs="Times New Roman"/>
                        <w:color w:val="00664C" w:themeColor="accent1" w:themeShade="80"/>
                        <w:sz w:val="24"/>
                        <w:szCs w:val="24"/>
                      </w:rPr>
                    </w:pPr>
                    <w:r w:rsidRPr="00D51782">
                      <w:rPr>
                        <w:rFonts w:ascii="Times New Roman" w:hAnsi="Times New Roman" w:cs="Times New Roman"/>
                        <w:color w:val="00664C" w:themeColor="accent1" w:themeShade="80"/>
                        <w:sz w:val="24"/>
                        <w:szCs w:val="24"/>
                      </w:rPr>
                      <w:t xml:space="preserve">pre </w:t>
                    </w:r>
                    <w:r w:rsidR="00CD234D">
                      <w:rPr>
                        <w:rFonts w:ascii="Times New Roman" w:hAnsi="Times New Roman" w:cs="Times New Roman"/>
                        <w:color w:val="00664C" w:themeColor="accent1" w:themeShade="80"/>
                        <w:sz w:val="24"/>
                        <w:szCs w:val="24"/>
                        <w:lang w:val="sk-SK"/>
                      </w:rPr>
                      <w:t>Študen</w:t>
                    </w:r>
                    <w:r w:rsidRPr="00D51782">
                      <w:rPr>
                        <w:rFonts w:ascii="Times New Roman" w:hAnsi="Times New Roman" w:cs="Times New Roman"/>
                        <w:color w:val="00664C" w:themeColor="accent1" w:themeShade="80"/>
                        <w:sz w:val="24"/>
                        <w:szCs w:val="24"/>
                        <w:lang w:val="sk-SK"/>
                      </w:rPr>
                      <w:t>t</w:t>
                    </w:r>
                    <w:r w:rsidR="00CD234D">
                      <w:rPr>
                        <w:rFonts w:ascii="Times New Roman" w:hAnsi="Times New Roman" w:cs="Times New Roman"/>
                        <w:color w:val="00664C" w:themeColor="accent1" w:themeShade="80"/>
                        <w:sz w:val="24"/>
                        <w:szCs w:val="24"/>
                        <w:lang w:val="sk-SK"/>
                      </w:rPr>
                      <w:t>s</w:t>
                    </w:r>
                    <w:r w:rsidRPr="00D51782">
                      <w:rPr>
                        <w:rFonts w:ascii="Times New Roman" w:hAnsi="Times New Roman" w:cs="Times New Roman"/>
                        <w:color w:val="00664C" w:themeColor="accent1" w:themeShade="80"/>
                        <w:sz w:val="24"/>
                        <w:szCs w:val="24"/>
                        <w:lang w:val="sk-SK"/>
                      </w:rPr>
                      <w:t>kú radu Gymnázia, Trebišovská 12, Košice</w:t>
                    </w:r>
                  </w:p>
                </w:sdtContent>
              </w:sdt>
              <w:p w:rsidR="006D2F0F" w:rsidRPr="00D51782" w:rsidRDefault="006D2F0F">
                <w:pPr>
                  <w:pStyle w:val="Bezmezer"/>
                  <w:rPr>
                    <w:rFonts w:ascii="Times New Roman" w:hAnsi="Times New Roman" w:cs="Times New Roman"/>
                    <w:color w:val="00664C" w:themeColor="accent1" w:themeShade="80"/>
                    <w:sz w:val="24"/>
                    <w:szCs w:val="24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i/>
                    <w:color w:val="00664C" w:themeColor="accent1" w:themeShade="80"/>
                    <w:sz w:val="24"/>
                    <w:szCs w:val="24"/>
                  </w:rPr>
                  <w:alias w:val="Autho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D2F0F" w:rsidRPr="00D51782" w:rsidRDefault="00541D26">
                    <w:pPr>
                      <w:pStyle w:val="Bezmezer"/>
                      <w:rPr>
                        <w:rFonts w:ascii="Times New Roman" w:hAnsi="Times New Roman" w:cs="Times New Roman"/>
                        <w:i/>
                        <w:color w:val="00664C" w:themeColor="accent1" w:themeShade="80"/>
                        <w:sz w:val="24"/>
                        <w:szCs w:val="24"/>
                      </w:rPr>
                    </w:pPr>
                    <w:r w:rsidRPr="00D51782">
                      <w:rPr>
                        <w:rFonts w:ascii="Times New Roman" w:hAnsi="Times New Roman" w:cs="Times New Roman"/>
                        <w:i/>
                        <w:color w:val="00664C" w:themeColor="accent1" w:themeShade="80"/>
                        <w:sz w:val="24"/>
                        <w:szCs w:val="24"/>
                        <w:lang w:val="sk-SK"/>
                      </w:rPr>
                      <w:t xml:space="preserve">Michal </w:t>
                    </w:r>
                    <w:proofErr w:type="spellStart"/>
                    <w:r w:rsidRPr="00D51782">
                      <w:rPr>
                        <w:rFonts w:ascii="Times New Roman" w:hAnsi="Times New Roman" w:cs="Times New Roman"/>
                        <w:i/>
                        <w:color w:val="00664C" w:themeColor="accent1" w:themeShade="80"/>
                        <w:sz w:val="24"/>
                        <w:szCs w:val="24"/>
                        <w:lang w:val="sk-SK"/>
                      </w:rPr>
                      <w:t>Kerestúri</w:t>
                    </w:r>
                    <w:proofErr w:type="spellEnd"/>
                  </w:p>
                </w:sdtContent>
              </w:sdt>
              <w:p w:rsidR="006D2F0F" w:rsidRPr="00D51782" w:rsidRDefault="006D2F0F">
                <w:pPr>
                  <w:pStyle w:val="Bezmezer"/>
                  <w:rPr>
                    <w:rFonts w:ascii="Times New Roman" w:hAnsi="Times New Roman" w:cs="Times New Roman"/>
                    <w:color w:val="00664C" w:themeColor="accent1" w:themeShade="80"/>
                    <w:sz w:val="24"/>
                    <w:szCs w:val="24"/>
                  </w:rPr>
                </w:pPr>
              </w:p>
            </w:tc>
          </w:tr>
        </w:tbl>
        <w:p w:rsidR="006D2F0F" w:rsidRPr="0077543F" w:rsidRDefault="006D2F0F">
          <w:pPr>
            <w:rPr>
              <w:rFonts w:ascii="Times New Roman" w:hAnsi="Times New Roman" w:cs="Times New Roman"/>
            </w:rPr>
          </w:pPr>
        </w:p>
        <w:p w:rsidR="006D2F0F" w:rsidRPr="0077543F" w:rsidRDefault="006D2F0F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981"/>
          </w:tblGrid>
          <w:tr w:rsidR="006D2F0F" w:rsidRPr="0077543F">
            <w:tc>
              <w:tcPr>
                <w:tcW w:w="0" w:type="auto"/>
              </w:tcPr>
              <w:p w:rsidR="006D2F0F" w:rsidRPr="0077543F" w:rsidRDefault="006D2F0F" w:rsidP="0077543F">
                <w:pPr>
                  <w:pStyle w:val="Bezmezer"/>
                  <w:spacing w:before="100" w:beforeAutospacing="1"/>
                  <w:jc w:val="center"/>
                  <w:rPr>
                    <w:rFonts w:ascii="MV Boli" w:hAnsi="MV Boli" w:cs="MV Boli"/>
                    <w:b/>
                    <w:bCs/>
                    <w:caps/>
                    <w:sz w:val="72"/>
                    <w:szCs w:val="72"/>
                  </w:rPr>
                </w:pPr>
                <w:r w:rsidRPr="00D51782">
                  <w:rPr>
                    <w:rFonts w:ascii="MV Boli" w:hAnsi="MV Boli" w:cs="MV Boli"/>
                    <w:b/>
                    <w:bCs/>
                    <w:caps/>
                    <w:color w:val="666666" w:themeColor="text2" w:themeTint="99"/>
                    <w:sz w:val="72"/>
                    <w:szCs w:val="72"/>
                  </w:rPr>
                  <w:t>[</w:t>
                </w:r>
                <w:sdt>
                  <w:sdtPr>
                    <w:rPr>
                      <w:rFonts w:ascii="MV Boli" w:hAnsi="MV Boli" w:cs="MV Boli"/>
                      <w:b/>
                      <w:bCs/>
                      <w:caps/>
                      <w:sz w:val="40"/>
                      <w:szCs w:val="40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00797" w:rsidRPr="0077543F">
                      <w:rPr>
                        <w:rFonts w:ascii="MV Boli" w:hAnsi="MV Boli" w:cs="MV Boli"/>
                        <w:b/>
                        <w:bCs/>
                        <w:caps/>
                        <w:sz w:val="40"/>
                        <w:szCs w:val="40"/>
                      </w:rPr>
                      <w:t xml:space="preserve">Projekt revitalizácie </w:t>
                    </w:r>
                    <w:r w:rsidR="00B5726F" w:rsidRPr="0077543F">
                      <w:rPr>
                        <w:rFonts w:ascii="MV Boli" w:hAnsi="MV Boli" w:cs="MV Boli"/>
                        <w:b/>
                        <w:bCs/>
                        <w:caps/>
                        <w:sz w:val="40"/>
                        <w:szCs w:val="40"/>
                      </w:rPr>
                      <w:t>chemického laboratória</w:t>
                    </w:r>
                  </w:sdtContent>
                </w:sdt>
                <w:r w:rsidRPr="00D51782">
                  <w:rPr>
                    <w:rFonts w:ascii="MV Boli" w:hAnsi="MV Boli" w:cs="MV Boli"/>
                    <w:b/>
                    <w:bCs/>
                    <w:caps/>
                    <w:color w:val="666666" w:themeColor="text2" w:themeTint="99"/>
                    <w:sz w:val="72"/>
                    <w:szCs w:val="72"/>
                  </w:rPr>
                  <w:t>]</w:t>
                </w:r>
              </w:p>
            </w:tc>
          </w:tr>
          <w:tr w:rsidR="006D2F0F" w:rsidRPr="0077543F">
            <w:sdt>
              <w:sdtPr>
                <w:rPr>
                  <w:rFonts w:ascii="Times New Roman" w:hAnsi="Times New Roman" w:cs="Times New Roman"/>
                  <w:color w:val="5F5F5F" w:themeColor="background1" w:themeShade="7F"/>
                  <w:sz w:val="24"/>
                  <w:szCs w:val="24"/>
                </w:rPr>
                <w:alias w:val="Abstract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6D2F0F" w:rsidRPr="0077543F" w:rsidRDefault="002F5C00" w:rsidP="00541D26">
                    <w:pPr>
                      <w:pStyle w:val="Bezmezer"/>
                      <w:spacing w:before="480"/>
                      <w:jc w:val="both"/>
                      <w:rPr>
                        <w:rFonts w:ascii="Times New Roman" w:hAnsi="Times New Roman" w:cs="Times New Roman"/>
                        <w:color w:val="5F5F5F" w:themeColor="background1" w:themeShade="7F"/>
                        <w:sz w:val="24"/>
                        <w:szCs w:val="24"/>
                      </w:rPr>
                    </w:pPr>
                    <w:r w:rsidRPr="0077543F">
                      <w:rPr>
                        <w:rFonts w:ascii="Times New Roman" w:hAnsi="Times New Roman" w:cs="Times New Roman"/>
                        <w:color w:val="5F5F5F" w:themeColor="background1" w:themeShade="7F"/>
                        <w:sz w:val="24"/>
                        <w:szCs w:val="24"/>
                        <w:lang w:val="sk-SK"/>
                      </w:rPr>
                      <w:t xml:space="preserve">Projekt revitalizácie chemického laboratória (ďalej len Projekt) rieši akútny stav pracovného prostredia, stien, pracovných laboratórnych stolov, zariadenia, vybavenia, obohatenia vyučovacieho procesu novými pokusmi. Obsahuje plán obnovy a návrh riešenia finančného zabezpečenia realizácie Projektu. </w:t>
                    </w:r>
                  </w:p>
                </w:tc>
              </w:sdtContent>
            </w:sdt>
          </w:tr>
        </w:tbl>
        <w:p w:rsidR="006D2F0F" w:rsidRPr="0077543F" w:rsidRDefault="006D2F0F" w:rsidP="00541D26">
          <w:pPr>
            <w:spacing w:before="480"/>
            <w:rPr>
              <w:rFonts w:ascii="Times New Roman" w:hAnsi="Times New Roman" w:cs="Times New Roman"/>
            </w:rPr>
          </w:pPr>
        </w:p>
        <w:p w:rsidR="00541D26" w:rsidRPr="0077543F" w:rsidRDefault="006D2F0F" w:rsidP="003D4455">
          <w:pPr>
            <w:rPr>
              <w:rFonts w:ascii="Times New Roman" w:hAnsi="Times New Roman" w:cs="Times New Roman"/>
            </w:rPr>
          </w:pPr>
          <w:r w:rsidRPr="0077543F">
            <w:rPr>
              <w:rFonts w:ascii="Times New Roman" w:hAnsi="Times New Roman" w:cs="Times New Roman"/>
            </w:rPr>
            <w:br w:type="page"/>
          </w:r>
        </w:p>
      </w:sdtContent>
    </w:sdt>
    <w:p w:rsidR="006D2F0F" w:rsidRPr="00D51782" w:rsidRDefault="00541D26" w:rsidP="00D51782">
      <w:pPr>
        <w:pStyle w:val="SSS"/>
      </w:pPr>
      <w:r w:rsidRPr="00D51782">
        <w:lastRenderedPageBreak/>
        <w:t>Úvod</w:t>
      </w:r>
    </w:p>
    <w:p w:rsidR="00541D26" w:rsidRPr="0077543F" w:rsidRDefault="00541D26" w:rsidP="003D4455">
      <w:pPr>
        <w:rPr>
          <w:rFonts w:ascii="Times New Roman" w:hAnsi="Times New Roman" w:cs="Times New Roman"/>
        </w:rPr>
      </w:pPr>
    </w:p>
    <w:p w:rsidR="00541D26" w:rsidRDefault="001066B0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B0">
        <w:rPr>
          <w:rFonts w:ascii="Times New Roman" w:hAnsi="Times New Roman" w:cs="Times New Roman"/>
          <w:sz w:val="24"/>
          <w:szCs w:val="24"/>
        </w:rPr>
        <w:tab/>
      </w:r>
      <w:r w:rsidR="00541D26" w:rsidRPr="001066B0">
        <w:rPr>
          <w:rFonts w:ascii="Times New Roman" w:hAnsi="Times New Roman" w:cs="Times New Roman"/>
          <w:sz w:val="24"/>
          <w:szCs w:val="24"/>
        </w:rPr>
        <w:t xml:space="preserve">Projekt revitalizácie chemického laboratória </w:t>
      </w:r>
      <w:r w:rsidR="00712A24" w:rsidRPr="001066B0">
        <w:rPr>
          <w:rFonts w:ascii="Times New Roman" w:hAnsi="Times New Roman" w:cs="Times New Roman"/>
          <w:sz w:val="24"/>
          <w:szCs w:val="24"/>
        </w:rPr>
        <w:t xml:space="preserve">predstavuje súbor cieľov, </w:t>
      </w:r>
      <w:r w:rsidR="00F43C14" w:rsidRPr="001066B0">
        <w:rPr>
          <w:rFonts w:ascii="Times New Roman" w:hAnsi="Times New Roman" w:cs="Times New Roman"/>
          <w:sz w:val="24"/>
          <w:szCs w:val="24"/>
        </w:rPr>
        <w:t xml:space="preserve">dizajnových návrhov, </w:t>
      </w:r>
      <w:r w:rsidR="00541D26" w:rsidRPr="001066B0">
        <w:rPr>
          <w:rFonts w:ascii="Times New Roman" w:hAnsi="Times New Roman" w:cs="Times New Roman"/>
          <w:sz w:val="24"/>
          <w:szCs w:val="24"/>
        </w:rPr>
        <w:t xml:space="preserve"> </w:t>
      </w:r>
      <w:r w:rsidRPr="001066B0">
        <w:rPr>
          <w:rFonts w:ascii="Times New Roman" w:hAnsi="Times New Roman" w:cs="Times New Roman"/>
          <w:sz w:val="24"/>
          <w:szCs w:val="24"/>
        </w:rPr>
        <w:t xml:space="preserve">finančných plánov, návrh hmotného </w:t>
      </w:r>
      <w:proofErr w:type="spellStart"/>
      <w:r w:rsidRPr="001066B0">
        <w:rPr>
          <w:rFonts w:ascii="Times New Roman" w:hAnsi="Times New Roman" w:cs="Times New Roman"/>
          <w:sz w:val="24"/>
          <w:szCs w:val="24"/>
        </w:rPr>
        <w:t>dovybavenia</w:t>
      </w:r>
      <w:proofErr w:type="spellEnd"/>
      <w:r w:rsidRPr="001066B0">
        <w:rPr>
          <w:rFonts w:ascii="Times New Roman" w:hAnsi="Times New Roman" w:cs="Times New Roman"/>
          <w:sz w:val="24"/>
          <w:szCs w:val="24"/>
        </w:rPr>
        <w:t xml:space="preserve"> a návrh spolupráce medzi Študentskou radou Gymnázia, Trebišovská 12, Košice</w:t>
      </w:r>
      <w:r>
        <w:rPr>
          <w:rFonts w:ascii="Times New Roman" w:hAnsi="Times New Roman" w:cs="Times New Roman"/>
          <w:sz w:val="24"/>
          <w:szCs w:val="24"/>
        </w:rPr>
        <w:t xml:space="preserve"> (ďalej len Študentská rada)</w:t>
      </w:r>
      <w:r w:rsidRPr="001066B0">
        <w:rPr>
          <w:rFonts w:ascii="Times New Roman" w:hAnsi="Times New Roman" w:cs="Times New Roman"/>
          <w:sz w:val="24"/>
          <w:szCs w:val="24"/>
        </w:rPr>
        <w:t xml:space="preserve"> a Predmetovej komisie Chémia</w:t>
      </w:r>
      <w:r>
        <w:rPr>
          <w:rFonts w:ascii="Times New Roman" w:hAnsi="Times New Roman" w:cs="Times New Roman"/>
          <w:sz w:val="24"/>
          <w:szCs w:val="24"/>
        </w:rPr>
        <w:t xml:space="preserve"> (ďalej len PK Chémia)</w:t>
      </w:r>
      <w:r w:rsidR="009660B8">
        <w:rPr>
          <w:rFonts w:ascii="Times New Roman" w:hAnsi="Times New Roman" w:cs="Times New Roman"/>
          <w:sz w:val="24"/>
          <w:szCs w:val="24"/>
        </w:rPr>
        <w:t xml:space="preserve"> a vedením</w:t>
      </w:r>
      <w:r w:rsidRPr="001066B0">
        <w:rPr>
          <w:rFonts w:ascii="Times New Roman" w:hAnsi="Times New Roman" w:cs="Times New Roman"/>
          <w:sz w:val="24"/>
          <w:szCs w:val="24"/>
        </w:rPr>
        <w:t xml:space="preserve"> tej istej školy</w:t>
      </w:r>
      <w:r w:rsidR="00EB1320">
        <w:rPr>
          <w:rFonts w:ascii="Times New Roman" w:hAnsi="Times New Roman" w:cs="Times New Roman"/>
          <w:sz w:val="24"/>
          <w:szCs w:val="24"/>
        </w:rPr>
        <w:t xml:space="preserve"> (ďalej už len vedenie školy)</w:t>
      </w:r>
      <w:r w:rsidRPr="001066B0">
        <w:rPr>
          <w:rFonts w:ascii="Times New Roman" w:hAnsi="Times New Roman" w:cs="Times New Roman"/>
          <w:sz w:val="24"/>
          <w:szCs w:val="24"/>
        </w:rPr>
        <w:t>.</w:t>
      </w:r>
    </w:p>
    <w:p w:rsidR="001066B0" w:rsidRDefault="001066B0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B8" w:rsidRDefault="00EB1320" w:rsidP="00D51782">
      <w:pPr>
        <w:pStyle w:val="SSS"/>
        <w:sectPr w:rsidR="009660B8" w:rsidSect="008D53C5">
          <w:headerReference w:type="default" r:id="rId9"/>
          <w:footerReference w:type="default" r:id="rId10"/>
          <w:footerReference w:type="first" r:id="rId11"/>
          <w:pgSz w:w="11906" w:h="16838" w:code="9"/>
          <w:pgMar w:top="1440" w:right="1440" w:bottom="1440" w:left="1701" w:header="709" w:footer="709" w:gutter="0"/>
          <w:cols w:space="708"/>
          <w:titlePg/>
          <w:docGrid w:linePitch="360"/>
        </w:sectPr>
      </w:pPr>
      <w:r>
        <w:t xml:space="preserve"> </w:t>
      </w:r>
    </w:p>
    <w:p w:rsidR="001066B0" w:rsidRDefault="007E0F28" w:rsidP="00D51782">
      <w:pPr>
        <w:pStyle w:val="SSS"/>
      </w:pPr>
      <w:r>
        <w:lastRenderedPageBreak/>
        <w:t>Návrh d</w:t>
      </w:r>
      <w:r w:rsidR="001066B0">
        <w:t>ohody o spolupráci</w:t>
      </w:r>
    </w:p>
    <w:p w:rsidR="001066B0" w:rsidRDefault="001066B0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0" w:rsidRDefault="00835082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Štude</w:t>
      </w:r>
      <w:r w:rsidR="00D51782">
        <w:rPr>
          <w:rFonts w:ascii="Times New Roman" w:hAnsi="Times New Roman" w:cs="Times New Roman"/>
          <w:sz w:val="24"/>
          <w:szCs w:val="24"/>
        </w:rPr>
        <w:t>ntská rada prichádza s návrhom r</w:t>
      </w:r>
      <w:r>
        <w:rPr>
          <w:rFonts w:ascii="Times New Roman" w:hAnsi="Times New Roman" w:cs="Times New Roman"/>
          <w:sz w:val="24"/>
          <w:szCs w:val="24"/>
        </w:rPr>
        <w:t>evital</w:t>
      </w:r>
      <w:r w:rsidR="00D51782">
        <w:rPr>
          <w:rFonts w:ascii="Times New Roman" w:hAnsi="Times New Roman" w:cs="Times New Roman"/>
          <w:sz w:val="24"/>
          <w:szCs w:val="24"/>
        </w:rPr>
        <w:t>izácie chemického laboratória. Predkladá projekt, ktorého náplňou je teoreticky a plánovo zabezpečiť realizáciu jeho obnovy.</w:t>
      </w:r>
    </w:p>
    <w:p w:rsidR="00DF74A3" w:rsidRDefault="00DF74A3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35" w:rsidRDefault="00D34A35" w:rsidP="00D34A35">
      <w:pPr>
        <w:pStyle w:val="SSS2"/>
      </w:pPr>
      <w:r w:rsidRPr="00D51782">
        <w:t>0.</w:t>
      </w:r>
      <w:r w:rsidR="00C75310">
        <w:t>1</w:t>
      </w:r>
      <w:r w:rsidRPr="00D51782">
        <w:t xml:space="preserve"> </w:t>
      </w:r>
      <w:r>
        <w:t>Personálne zabezpečenie Projektu</w:t>
      </w:r>
    </w:p>
    <w:p w:rsidR="00B531A2" w:rsidRPr="00D51782" w:rsidRDefault="00B531A2" w:rsidP="00D34A35">
      <w:pPr>
        <w:pStyle w:val="SSS2"/>
      </w:pPr>
    </w:p>
    <w:tbl>
      <w:tblPr>
        <w:tblStyle w:val="Mkatabulky"/>
        <w:tblW w:w="0" w:type="auto"/>
        <w:tblLook w:val="04A0"/>
      </w:tblPr>
      <w:tblGrid>
        <w:gridCol w:w="3460"/>
        <w:gridCol w:w="3460"/>
      </w:tblGrid>
      <w:tr w:rsidR="00817FAC" w:rsidTr="00B531A2">
        <w:trPr>
          <w:trHeight w:val="362"/>
        </w:trPr>
        <w:tc>
          <w:tcPr>
            <w:tcW w:w="3460" w:type="dxa"/>
            <w:vAlign w:val="center"/>
          </w:tcPr>
          <w:p w:rsidR="00817FAC" w:rsidRPr="00817FAC" w:rsidRDefault="00817FAC" w:rsidP="00817FAC">
            <w:pPr>
              <w:rPr>
                <w:sz w:val="18"/>
                <w:szCs w:val="18"/>
              </w:rPr>
            </w:pPr>
            <w:r w:rsidRPr="00817FAC">
              <w:rPr>
                <w:sz w:val="18"/>
                <w:szCs w:val="18"/>
              </w:rPr>
              <w:t>Autor projektu</w:t>
            </w:r>
          </w:p>
        </w:tc>
        <w:tc>
          <w:tcPr>
            <w:tcW w:w="3460" w:type="dxa"/>
            <w:shd w:val="clear" w:color="auto" w:fill="E5E5E5" w:themeFill="background2" w:themeFillTint="33"/>
            <w:vAlign w:val="center"/>
          </w:tcPr>
          <w:p w:rsidR="00817FAC" w:rsidRPr="000809FD" w:rsidRDefault="000809FD" w:rsidP="00817FAC">
            <w:pPr>
              <w:rPr>
                <w:rFonts w:ascii="Times New Roman" w:hAnsi="Times New Roman" w:cs="Times New Roman"/>
              </w:rPr>
            </w:pPr>
            <w:r w:rsidRPr="000809FD">
              <w:rPr>
                <w:rFonts w:ascii="Times New Roman" w:hAnsi="Times New Roman" w:cs="Times New Roman"/>
              </w:rPr>
              <w:t xml:space="preserve">Michal </w:t>
            </w:r>
            <w:proofErr w:type="spellStart"/>
            <w:r w:rsidRPr="000809FD">
              <w:rPr>
                <w:rFonts w:ascii="Times New Roman" w:hAnsi="Times New Roman" w:cs="Times New Roman"/>
              </w:rPr>
              <w:t>Kerestúri</w:t>
            </w:r>
            <w:proofErr w:type="spellEnd"/>
          </w:p>
        </w:tc>
      </w:tr>
      <w:tr w:rsidR="00CB56BE" w:rsidTr="00B531A2">
        <w:trPr>
          <w:trHeight w:val="362"/>
        </w:trPr>
        <w:tc>
          <w:tcPr>
            <w:tcW w:w="3460" w:type="dxa"/>
            <w:vAlign w:val="center"/>
          </w:tcPr>
          <w:p w:rsidR="00CB56BE" w:rsidRPr="00CB56BE" w:rsidRDefault="00CB56BE" w:rsidP="00817FAC">
            <w:pPr>
              <w:rPr>
                <w:b/>
                <w:sz w:val="18"/>
                <w:szCs w:val="18"/>
              </w:rPr>
            </w:pPr>
            <w:r w:rsidRPr="00CB56BE">
              <w:rPr>
                <w:b/>
                <w:sz w:val="18"/>
                <w:szCs w:val="18"/>
              </w:rPr>
              <w:t>Realizátor projektu</w:t>
            </w:r>
          </w:p>
        </w:tc>
        <w:tc>
          <w:tcPr>
            <w:tcW w:w="3460" w:type="dxa"/>
            <w:shd w:val="clear" w:color="auto" w:fill="E5E5E5" w:themeFill="background2" w:themeFillTint="33"/>
            <w:vAlign w:val="center"/>
          </w:tcPr>
          <w:p w:rsidR="00CB56BE" w:rsidRPr="00CB56BE" w:rsidRDefault="00CB56BE" w:rsidP="00817FAC">
            <w:pPr>
              <w:rPr>
                <w:rFonts w:ascii="Times New Roman" w:hAnsi="Times New Roman" w:cs="Times New Roman"/>
                <w:b/>
              </w:rPr>
            </w:pPr>
            <w:r w:rsidRPr="00CB56BE">
              <w:rPr>
                <w:rFonts w:ascii="Times New Roman" w:hAnsi="Times New Roman" w:cs="Times New Roman"/>
                <w:b/>
              </w:rPr>
              <w:t>Študentská rada Gymnázia, Trebišovská 12 v Košiciach</w:t>
            </w:r>
          </w:p>
        </w:tc>
      </w:tr>
      <w:tr w:rsidR="00817FAC" w:rsidTr="00B531A2">
        <w:trPr>
          <w:trHeight w:val="362"/>
        </w:trPr>
        <w:tc>
          <w:tcPr>
            <w:tcW w:w="3460" w:type="dxa"/>
            <w:vAlign w:val="center"/>
          </w:tcPr>
          <w:p w:rsidR="00817FAC" w:rsidRPr="00817FAC" w:rsidRDefault="00817FAC" w:rsidP="00817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Koordinátor Projektu za PK Chémia</w:t>
            </w:r>
          </w:p>
        </w:tc>
        <w:tc>
          <w:tcPr>
            <w:tcW w:w="3460" w:type="dxa"/>
            <w:shd w:val="clear" w:color="auto" w:fill="E5E5E5" w:themeFill="background2" w:themeFillTint="33"/>
            <w:vAlign w:val="center"/>
          </w:tcPr>
          <w:p w:rsidR="00817FAC" w:rsidRPr="000809FD" w:rsidRDefault="00D14F2D" w:rsidP="0081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Malvína Černáková</w:t>
            </w:r>
          </w:p>
        </w:tc>
      </w:tr>
      <w:tr w:rsidR="00817FAC" w:rsidTr="00B531A2">
        <w:trPr>
          <w:trHeight w:val="340"/>
        </w:trPr>
        <w:tc>
          <w:tcPr>
            <w:tcW w:w="3460" w:type="dxa"/>
            <w:vAlign w:val="center"/>
          </w:tcPr>
          <w:p w:rsidR="00817FAC" w:rsidRPr="00817FAC" w:rsidRDefault="00817FAC" w:rsidP="00817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Zástupca vedenia školy</w:t>
            </w:r>
          </w:p>
        </w:tc>
        <w:tc>
          <w:tcPr>
            <w:tcW w:w="3460" w:type="dxa"/>
            <w:shd w:val="clear" w:color="auto" w:fill="E5E5E5" w:themeFill="background2" w:themeFillTint="33"/>
            <w:vAlign w:val="center"/>
          </w:tcPr>
          <w:p w:rsidR="00817FAC" w:rsidRPr="000809FD" w:rsidRDefault="000809FD" w:rsidP="0081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Ján </w:t>
            </w:r>
            <w:proofErr w:type="spellStart"/>
            <w:r>
              <w:rPr>
                <w:rFonts w:ascii="Times New Roman" w:hAnsi="Times New Roman" w:cs="Times New Roman"/>
              </w:rPr>
              <w:t>Buday</w:t>
            </w:r>
            <w:proofErr w:type="spellEnd"/>
          </w:p>
        </w:tc>
      </w:tr>
      <w:tr w:rsidR="00817FAC" w:rsidTr="00B531A2">
        <w:trPr>
          <w:trHeight w:val="362"/>
        </w:trPr>
        <w:tc>
          <w:tcPr>
            <w:tcW w:w="3460" w:type="dxa"/>
            <w:vAlign w:val="center"/>
          </w:tcPr>
          <w:p w:rsidR="00817FAC" w:rsidRPr="00817FAC" w:rsidRDefault="00817FAC" w:rsidP="00817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Zástupca Študentskej rady</w:t>
            </w:r>
          </w:p>
        </w:tc>
        <w:tc>
          <w:tcPr>
            <w:tcW w:w="3460" w:type="dxa"/>
            <w:shd w:val="clear" w:color="auto" w:fill="E5E5E5" w:themeFill="background2" w:themeFillTint="33"/>
            <w:vAlign w:val="center"/>
          </w:tcPr>
          <w:p w:rsidR="00817FAC" w:rsidRPr="000809FD" w:rsidRDefault="000809FD" w:rsidP="0081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Stanislava </w:t>
            </w:r>
            <w:proofErr w:type="spellStart"/>
            <w:r>
              <w:rPr>
                <w:rFonts w:ascii="Times New Roman" w:hAnsi="Times New Roman" w:cs="Times New Roman"/>
              </w:rPr>
              <w:t>Mazáková</w:t>
            </w:r>
            <w:proofErr w:type="spellEnd"/>
          </w:p>
        </w:tc>
      </w:tr>
      <w:tr w:rsidR="00817FAC" w:rsidTr="00B531A2">
        <w:trPr>
          <w:trHeight w:val="383"/>
        </w:trPr>
        <w:tc>
          <w:tcPr>
            <w:tcW w:w="3460" w:type="dxa"/>
            <w:vAlign w:val="center"/>
          </w:tcPr>
          <w:p w:rsidR="00817FAC" w:rsidRPr="00817FAC" w:rsidRDefault="00817FAC" w:rsidP="00817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Koordinátor Projektu za Študentskú radu</w:t>
            </w:r>
          </w:p>
        </w:tc>
        <w:tc>
          <w:tcPr>
            <w:tcW w:w="3460" w:type="dxa"/>
            <w:shd w:val="clear" w:color="auto" w:fill="E5E5E5" w:themeFill="background2" w:themeFillTint="33"/>
            <w:vAlign w:val="center"/>
          </w:tcPr>
          <w:p w:rsidR="00817FAC" w:rsidRPr="000809FD" w:rsidRDefault="000809FD" w:rsidP="00B531A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Juraj </w:t>
            </w:r>
            <w:proofErr w:type="spellStart"/>
            <w:r w:rsidR="00F65B27">
              <w:rPr>
                <w:rFonts w:ascii="Times New Roman" w:hAnsi="Times New Roman" w:cs="Times New Roman"/>
              </w:rPr>
              <w:t>Bodnár</w:t>
            </w:r>
            <w:proofErr w:type="spellEnd"/>
          </w:p>
        </w:tc>
      </w:tr>
    </w:tbl>
    <w:p w:rsidR="00B531A2" w:rsidRPr="00B531A2" w:rsidRDefault="00B531A2" w:rsidP="00B531A2">
      <w:pPr>
        <w:pStyle w:val="Titulek"/>
        <w:spacing w:before="120"/>
        <w:rPr>
          <w:color w:val="000000" w:themeColor="text1"/>
        </w:rPr>
      </w:pPr>
      <w:r w:rsidRPr="00B531A2">
        <w:rPr>
          <w:color w:val="000000" w:themeColor="text1"/>
        </w:rPr>
        <w:t>Tab</w:t>
      </w:r>
      <w:r>
        <w:rPr>
          <w:color w:val="000000" w:themeColor="text1"/>
        </w:rPr>
        <w:t>.</w:t>
      </w:r>
      <w:r w:rsidRPr="00B531A2">
        <w:rPr>
          <w:color w:val="000000" w:themeColor="text1"/>
        </w:rPr>
        <w:t xml:space="preserve"> </w:t>
      </w:r>
      <w:r w:rsidR="00C75310">
        <w:rPr>
          <w:color w:val="000000" w:themeColor="text1"/>
        </w:rPr>
        <w:t>1</w:t>
      </w:r>
      <w:r>
        <w:rPr>
          <w:color w:val="000000" w:themeColor="text1"/>
        </w:rPr>
        <w:t xml:space="preserve"> Personálne zabezpečenie projektu</w:t>
      </w:r>
    </w:p>
    <w:p w:rsidR="00B531A2" w:rsidRDefault="00B531A2" w:rsidP="00D34A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A2">
        <w:rPr>
          <w:rFonts w:ascii="Times New Roman" w:hAnsi="Times New Roman" w:cs="Times New Roman"/>
          <w:sz w:val="24"/>
          <w:szCs w:val="24"/>
        </w:rPr>
        <w:tab/>
      </w:r>
    </w:p>
    <w:p w:rsidR="00B531A2" w:rsidRDefault="00B531A2" w:rsidP="00D34A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31A2"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</w:rPr>
        <w:t xml:space="preserve">projektu zodpovedá za </w:t>
      </w:r>
      <w:r w:rsidR="00484F39">
        <w:rPr>
          <w:rFonts w:ascii="Times New Roman" w:hAnsi="Times New Roman" w:cs="Times New Roman"/>
          <w:sz w:val="24"/>
          <w:szCs w:val="24"/>
        </w:rPr>
        <w:t>formáln</w:t>
      </w:r>
      <w:r w:rsidR="00D14F2D">
        <w:rPr>
          <w:rFonts w:ascii="Times New Roman" w:hAnsi="Times New Roman" w:cs="Times New Roman"/>
          <w:sz w:val="24"/>
          <w:szCs w:val="24"/>
        </w:rPr>
        <w:t>u</w:t>
      </w:r>
      <w:r w:rsidR="00484F39">
        <w:rPr>
          <w:rFonts w:ascii="Times New Roman" w:hAnsi="Times New Roman" w:cs="Times New Roman"/>
          <w:sz w:val="24"/>
          <w:szCs w:val="24"/>
        </w:rPr>
        <w:t>, obsahovú a prvoplánovo vykonateľnú</w:t>
      </w:r>
      <w:r w:rsidR="00C75310">
        <w:rPr>
          <w:rFonts w:ascii="Times New Roman" w:hAnsi="Times New Roman" w:cs="Times New Roman"/>
          <w:sz w:val="24"/>
          <w:szCs w:val="24"/>
        </w:rPr>
        <w:t xml:space="preserve"> náplň Projektu, za jeho uvedenie do praxe. </w:t>
      </w:r>
    </w:p>
    <w:p w:rsidR="00484F39" w:rsidRDefault="00484F39" w:rsidP="00D34A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Koordinátor Projektu za PK Chémia zodpovedá za praktickú realizáciu Projektu v priestoroch chemického labo</w:t>
      </w:r>
      <w:r w:rsidR="000C3EAB">
        <w:rPr>
          <w:rFonts w:ascii="Times New Roman" w:hAnsi="Times New Roman" w:cs="Times New Roman"/>
          <w:sz w:val="24"/>
          <w:szCs w:val="24"/>
        </w:rPr>
        <w:t xml:space="preserve">ratória, </w:t>
      </w:r>
      <w:r w:rsidR="00616F8C">
        <w:rPr>
          <w:rFonts w:ascii="Times New Roman" w:hAnsi="Times New Roman" w:cs="Times New Roman"/>
          <w:sz w:val="24"/>
          <w:szCs w:val="24"/>
        </w:rPr>
        <w:t xml:space="preserve">za využitie finančných prostriedkov v súlade s pravidlami a podmienkami Projektu, </w:t>
      </w:r>
      <w:r w:rsidR="000C3EAB">
        <w:rPr>
          <w:rFonts w:ascii="Times New Roman" w:hAnsi="Times New Roman" w:cs="Times New Roman"/>
          <w:sz w:val="24"/>
          <w:szCs w:val="24"/>
        </w:rPr>
        <w:t xml:space="preserve">ďalej za </w:t>
      </w:r>
      <w:r w:rsidR="00C75310">
        <w:rPr>
          <w:rFonts w:ascii="Times New Roman" w:hAnsi="Times New Roman" w:cs="Times New Roman"/>
          <w:sz w:val="24"/>
          <w:szCs w:val="24"/>
        </w:rPr>
        <w:t>nákup materiálu a služieb, za dodržiavanie termínov jednotlivých realizačných období, za pomerné zastúpenie finančných prostriedkov určených na jednotlivé bloky.</w:t>
      </w:r>
    </w:p>
    <w:p w:rsidR="00BA4564" w:rsidRDefault="00BA4564" w:rsidP="00D34A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Zástupca vedenia školy je zodpovedný za finančné krytie projektu</w:t>
      </w:r>
      <w:r w:rsidR="00B243DB">
        <w:rPr>
          <w:rFonts w:ascii="Times New Roman" w:hAnsi="Times New Roman" w:cs="Times New Roman"/>
          <w:sz w:val="24"/>
          <w:szCs w:val="24"/>
        </w:rPr>
        <w:t xml:space="preserve"> zo strany vedenia školy</w:t>
      </w:r>
      <w:r>
        <w:rPr>
          <w:rFonts w:ascii="Times New Roman" w:hAnsi="Times New Roman" w:cs="Times New Roman"/>
          <w:sz w:val="24"/>
          <w:szCs w:val="24"/>
        </w:rPr>
        <w:t xml:space="preserve"> v dohodnutej výške, ďalej za poskytnutie dohodnutej sumy finančných prostriedkov v 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jednolivých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obdobiach v termíne dohodnutom v Projekte.</w:t>
      </w:r>
    </w:p>
    <w:p w:rsidR="00BA4564" w:rsidRDefault="00BA4564" w:rsidP="00D34A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Zástupca Študentskej rady </w:t>
      </w:r>
      <w:r w:rsidR="00B243DB">
        <w:rPr>
          <w:rFonts w:ascii="Times New Roman" w:hAnsi="Times New Roman" w:cs="Times New Roman"/>
          <w:sz w:val="24"/>
          <w:szCs w:val="24"/>
        </w:rPr>
        <w:t>je zodpovedný za finančné krytie projektu zo strany Študentskej rady v dohodnutej výške, ďalej za poskytnutie dohodnutej sumy finančných prostriedkov v </w:t>
      </w:r>
      <w:proofErr w:type="spellStart"/>
      <w:r w:rsidR="00B243DB">
        <w:rPr>
          <w:rFonts w:ascii="Times New Roman" w:hAnsi="Times New Roman" w:cs="Times New Roman"/>
          <w:sz w:val="24"/>
          <w:szCs w:val="24"/>
        </w:rPr>
        <w:t>jednolivých</w:t>
      </w:r>
      <w:proofErr w:type="spellEnd"/>
      <w:r w:rsidR="00B243DB">
        <w:rPr>
          <w:rFonts w:ascii="Times New Roman" w:hAnsi="Times New Roman" w:cs="Times New Roman"/>
          <w:sz w:val="24"/>
          <w:szCs w:val="24"/>
        </w:rPr>
        <w:t xml:space="preserve"> obdobiach v termíne dohodnutom v Projekte.</w:t>
      </w:r>
    </w:p>
    <w:p w:rsidR="00B531A2" w:rsidRDefault="005211D7" w:rsidP="00D34A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Koordinátor Projektu za Študentskú radu preberá zodpovednosť za Projekt a jeho realizáciu v rozsahu </w:t>
      </w:r>
      <w:r w:rsidR="00320D4A">
        <w:rPr>
          <w:rFonts w:ascii="Times New Roman" w:hAnsi="Times New Roman" w:cs="Times New Roman"/>
          <w:sz w:val="24"/>
          <w:szCs w:val="24"/>
        </w:rPr>
        <w:t>autora projektu, zabezpečuje</w:t>
      </w:r>
      <w:r w:rsidR="003C3A51">
        <w:rPr>
          <w:rFonts w:ascii="Times New Roman" w:hAnsi="Times New Roman" w:cs="Times New Roman"/>
          <w:sz w:val="24"/>
          <w:szCs w:val="24"/>
        </w:rPr>
        <w:t xml:space="preserve"> priestorovú komunikáciu medzi k</w:t>
      </w:r>
      <w:r w:rsidR="00320D4A">
        <w:rPr>
          <w:rFonts w:ascii="Times New Roman" w:hAnsi="Times New Roman" w:cs="Times New Roman"/>
          <w:sz w:val="24"/>
          <w:szCs w:val="24"/>
        </w:rPr>
        <w:t xml:space="preserve">oordinátorom za PK Chémia a vedením školy a minimalizuje </w:t>
      </w:r>
      <w:r w:rsidR="003273F6">
        <w:rPr>
          <w:rFonts w:ascii="Times New Roman" w:hAnsi="Times New Roman" w:cs="Times New Roman"/>
          <w:sz w:val="24"/>
          <w:szCs w:val="24"/>
        </w:rPr>
        <w:t>organi</w:t>
      </w:r>
      <w:r w:rsidR="00320D4A">
        <w:rPr>
          <w:rFonts w:ascii="Times New Roman" w:hAnsi="Times New Roman" w:cs="Times New Roman"/>
          <w:sz w:val="24"/>
          <w:szCs w:val="24"/>
        </w:rPr>
        <w:t xml:space="preserve">začné dopady na </w:t>
      </w:r>
      <w:r w:rsidR="003C3A51">
        <w:rPr>
          <w:rFonts w:ascii="Times New Roman" w:hAnsi="Times New Roman" w:cs="Times New Roman"/>
          <w:sz w:val="24"/>
          <w:szCs w:val="24"/>
        </w:rPr>
        <w:t>k</w:t>
      </w:r>
      <w:r w:rsidR="00320D4A">
        <w:rPr>
          <w:rFonts w:ascii="Times New Roman" w:hAnsi="Times New Roman" w:cs="Times New Roman"/>
          <w:sz w:val="24"/>
          <w:szCs w:val="24"/>
        </w:rPr>
        <w:t>oordinátora za PK Chémia.</w:t>
      </w:r>
    </w:p>
    <w:p w:rsidR="003D58F7" w:rsidRPr="00B531A2" w:rsidRDefault="003D58F7" w:rsidP="00D34A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82" w:rsidRPr="00D51782" w:rsidRDefault="00D51782" w:rsidP="00D51782">
      <w:pPr>
        <w:pStyle w:val="SSS2"/>
      </w:pPr>
      <w:r w:rsidRPr="00D51782">
        <w:t>0.</w:t>
      </w:r>
      <w:r w:rsidR="00C75310">
        <w:t>2</w:t>
      </w:r>
      <w:r w:rsidRPr="00D51782">
        <w:t xml:space="preserve"> </w:t>
      </w:r>
      <w:r w:rsidR="005831ED">
        <w:t xml:space="preserve">Časové </w:t>
      </w:r>
      <w:proofErr w:type="spellStart"/>
      <w:r w:rsidR="005831ED">
        <w:t>ohraničnenie</w:t>
      </w:r>
      <w:proofErr w:type="spellEnd"/>
      <w:r w:rsidR="005831ED">
        <w:t xml:space="preserve"> trvania projektu a jeho f</w:t>
      </w:r>
      <w:r w:rsidRPr="00D51782">
        <w:t>inančné zabezpečenie</w:t>
      </w:r>
    </w:p>
    <w:p w:rsidR="009660B8" w:rsidRDefault="00DF74A3" w:rsidP="001066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6B7">
        <w:rPr>
          <w:rFonts w:ascii="Times New Roman" w:hAnsi="Times New Roman" w:cs="Times New Roman"/>
          <w:b/>
          <w:sz w:val="24"/>
          <w:szCs w:val="24"/>
        </w:rPr>
        <w:tab/>
      </w:r>
    </w:p>
    <w:p w:rsidR="00B006B7" w:rsidRPr="00B006B7" w:rsidRDefault="009660B8" w:rsidP="001066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06B7" w:rsidRPr="00B006B7">
        <w:rPr>
          <w:rFonts w:ascii="Times New Roman" w:hAnsi="Times New Roman" w:cs="Times New Roman"/>
          <w:b/>
          <w:sz w:val="24"/>
          <w:szCs w:val="24"/>
          <w:u w:val="single"/>
        </w:rPr>
        <w:t xml:space="preserve">Časové </w:t>
      </w:r>
      <w:r w:rsidR="00532700">
        <w:rPr>
          <w:rFonts w:ascii="Times New Roman" w:hAnsi="Times New Roman" w:cs="Times New Roman"/>
          <w:b/>
          <w:sz w:val="24"/>
          <w:szCs w:val="24"/>
          <w:u w:val="single"/>
        </w:rPr>
        <w:t>ohraničenie trvania projektu</w:t>
      </w:r>
      <w:r w:rsidR="00B006B7" w:rsidRPr="00B006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066B0" w:rsidRDefault="00B006B7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1ED">
        <w:rPr>
          <w:rFonts w:ascii="Times New Roman" w:hAnsi="Times New Roman" w:cs="Times New Roman"/>
          <w:sz w:val="24"/>
          <w:szCs w:val="24"/>
        </w:rPr>
        <w:t xml:space="preserve">Projekt je vymedzený </w:t>
      </w:r>
      <w:r w:rsidR="00DF74A3">
        <w:rPr>
          <w:rFonts w:ascii="Times New Roman" w:hAnsi="Times New Roman" w:cs="Times New Roman"/>
          <w:sz w:val="24"/>
          <w:szCs w:val="24"/>
        </w:rPr>
        <w:t>od jeho podpísania zúčastnenými stranami do 31. mája 2012. Časové ohraničenie definuje hranicu, do kedy je potrebné ukončiť realizáciu celého projektu.</w:t>
      </w:r>
      <w:r w:rsidR="007F2C49">
        <w:rPr>
          <w:rFonts w:ascii="Times New Roman" w:hAnsi="Times New Roman" w:cs="Times New Roman"/>
          <w:sz w:val="24"/>
          <w:szCs w:val="24"/>
        </w:rPr>
        <w:t xml:space="preserve"> Pod pojmom ukončenie realizácie celého projektu chápeme ukončenie všetkých aktivít vyplývajúcich z projektu a jeho administratívne uzavretie, t.j. kompletnú finančnú bilanciu (Formulár č. 1)</w:t>
      </w:r>
      <w:r w:rsidR="00FF27C4">
        <w:rPr>
          <w:rFonts w:ascii="Times New Roman" w:hAnsi="Times New Roman" w:cs="Times New Roman"/>
          <w:sz w:val="24"/>
          <w:szCs w:val="24"/>
        </w:rPr>
        <w:t xml:space="preserve"> a</w:t>
      </w:r>
      <w:r w:rsidR="007F2C49">
        <w:rPr>
          <w:rFonts w:ascii="Times New Roman" w:hAnsi="Times New Roman" w:cs="Times New Roman"/>
          <w:sz w:val="24"/>
          <w:szCs w:val="24"/>
        </w:rPr>
        <w:t xml:space="preserve"> vyplnenú záverečnú bilanciu (Formulár č. 2).</w:t>
      </w:r>
    </w:p>
    <w:p w:rsidR="00B006B7" w:rsidRPr="009B710E" w:rsidRDefault="00B006B7" w:rsidP="001066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700">
        <w:rPr>
          <w:rFonts w:ascii="Times New Roman" w:hAnsi="Times New Roman" w:cs="Times New Roman"/>
          <w:b/>
          <w:sz w:val="24"/>
          <w:szCs w:val="24"/>
          <w:u w:val="single"/>
        </w:rPr>
        <w:t>Finančné zabezpečenie</w:t>
      </w:r>
      <w:r w:rsidRPr="009B710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projektu:</w:t>
      </w:r>
    </w:p>
    <w:p w:rsidR="00031345" w:rsidRDefault="00E8263A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6B7">
        <w:rPr>
          <w:rFonts w:ascii="Times New Roman" w:hAnsi="Times New Roman" w:cs="Times New Roman"/>
          <w:sz w:val="24"/>
          <w:szCs w:val="24"/>
        </w:rPr>
        <w:t xml:space="preserve">Projekt je financovaný nasledovne. Súhrnná (celková) suma, ktorá bude poskytnutá na realizáciu celého projektu, činí čiastku </w:t>
      </w:r>
      <w:r w:rsidR="00B006B7" w:rsidRPr="009B710E">
        <w:rPr>
          <w:rFonts w:ascii="Times New Roman" w:hAnsi="Times New Roman" w:cs="Times New Roman"/>
          <w:b/>
          <w:sz w:val="24"/>
          <w:szCs w:val="24"/>
        </w:rPr>
        <w:t xml:space="preserve">1 500 </w:t>
      </w:r>
      <w:r w:rsidR="009B710E" w:rsidRPr="009B710E">
        <w:rPr>
          <w:rFonts w:ascii="Times New Roman" w:hAnsi="Times New Roman" w:cs="Times New Roman"/>
          <w:b/>
          <w:sz w:val="24"/>
          <w:szCs w:val="24"/>
        </w:rPr>
        <w:t>eur</w:t>
      </w:r>
      <w:r w:rsidR="009B710E">
        <w:rPr>
          <w:rFonts w:ascii="Times New Roman" w:hAnsi="Times New Roman" w:cs="Times New Roman"/>
          <w:sz w:val="24"/>
          <w:szCs w:val="24"/>
        </w:rPr>
        <w:t xml:space="preserve">. Finančné zdroje sú poskytnuté </w:t>
      </w:r>
      <w:r w:rsidR="001543AC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9B710E">
        <w:rPr>
          <w:rFonts w:ascii="Times New Roman" w:hAnsi="Times New Roman" w:cs="Times New Roman"/>
          <w:sz w:val="24"/>
          <w:szCs w:val="24"/>
        </w:rPr>
        <w:t>dohod</w:t>
      </w:r>
      <w:r w:rsidR="001543AC">
        <w:rPr>
          <w:rFonts w:ascii="Times New Roman" w:hAnsi="Times New Roman" w:cs="Times New Roman"/>
          <w:sz w:val="24"/>
          <w:szCs w:val="24"/>
        </w:rPr>
        <w:t>y, ktorá je súčasťou Projektu</w:t>
      </w:r>
      <w:r w:rsidR="009B710E">
        <w:rPr>
          <w:rFonts w:ascii="Times New Roman" w:hAnsi="Times New Roman" w:cs="Times New Roman"/>
          <w:sz w:val="24"/>
          <w:szCs w:val="24"/>
        </w:rPr>
        <w:t>. Polovicu (50</w:t>
      </w:r>
      <w:r w:rsidR="009B710E" w:rsidRPr="009B710E">
        <w:rPr>
          <w:rFonts w:ascii="Times New Roman" w:hAnsi="Times New Roman" w:cs="Times New Roman"/>
          <w:sz w:val="24"/>
          <w:szCs w:val="24"/>
        </w:rPr>
        <w:t>%</w:t>
      </w:r>
      <w:r w:rsidR="00DC6CEB">
        <w:rPr>
          <w:rFonts w:ascii="Times New Roman" w:hAnsi="Times New Roman" w:cs="Times New Roman"/>
          <w:sz w:val="24"/>
          <w:szCs w:val="24"/>
        </w:rPr>
        <w:t>, teda</w:t>
      </w:r>
      <w:r w:rsidR="009B710E" w:rsidRPr="009B710E">
        <w:rPr>
          <w:rFonts w:ascii="Times New Roman" w:hAnsi="Times New Roman" w:cs="Times New Roman"/>
          <w:sz w:val="24"/>
          <w:szCs w:val="24"/>
        </w:rPr>
        <w:t xml:space="preserve"> 750 eur)</w:t>
      </w:r>
      <w:r w:rsidR="009B710E">
        <w:rPr>
          <w:rFonts w:ascii="Times New Roman" w:hAnsi="Times New Roman" w:cs="Times New Roman"/>
          <w:sz w:val="24"/>
          <w:szCs w:val="24"/>
        </w:rPr>
        <w:t xml:space="preserve"> poskytne zo svojich zdrojov Študentská rada. Druhú polovicu (50</w:t>
      </w:r>
      <w:r w:rsidR="009B710E" w:rsidRPr="009B710E">
        <w:rPr>
          <w:rFonts w:ascii="Times New Roman" w:hAnsi="Times New Roman" w:cs="Times New Roman"/>
          <w:sz w:val="24"/>
          <w:szCs w:val="24"/>
        </w:rPr>
        <w:t>%</w:t>
      </w:r>
      <w:r w:rsidR="00DC6CEB">
        <w:rPr>
          <w:rFonts w:ascii="Times New Roman" w:hAnsi="Times New Roman" w:cs="Times New Roman"/>
          <w:sz w:val="24"/>
          <w:szCs w:val="24"/>
        </w:rPr>
        <w:t>, teda</w:t>
      </w:r>
      <w:r w:rsidR="009B710E" w:rsidRPr="009B710E">
        <w:rPr>
          <w:rFonts w:ascii="Times New Roman" w:hAnsi="Times New Roman" w:cs="Times New Roman"/>
          <w:sz w:val="24"/>
          <w:szCs w:val="24"/>
        </w:rPr>
        <w:t xml:space="preserve"> 750 eur)</w:t>
      </w:r>
      <w:r w:rsidR="009B710E">
        <w:rPr>
          <w:rFonts w:ascii="Times New Roman" w:hAnsi="Times New Roman" w:cs="Times New Roman"/>
          <w:sz w:val="24"/>
          <w:szCs w:val="24"/>
        </w:rPr>
        <w:t xml:space="preserve"> poskytne vedenie </w:t>
      </w:r>
      <w:r w:rsidR="008323B6">
        <w:rPr>
          <w:rFonts w:ascii="Times New Roman" w:hAnsi="Times New Roman" w:cs="Times New Roman"/>
          <w:sz w:val="24"/>
          <w:szCs w:val="24"/>
        </w:rPr>
        <w:t>Gymnázia, Trebišovská 12 v Košiciach</w:t>
      </w:r>
      <w:r w:rsidR="009B710E">
        <w:rPr>
          <w:rFonts w:ascii="Times New Roman" w:hAnsi="Times New Roman" w:cs="Times New Roman"/>
          <w:sz w:val="24"/>
          <w:szCs w:val="24"/>
        </w:rPr>
        <w:t xml:space="preserve">. Projekt je plánovaný na </w:t>
      </w:r>
      <w:r w:rsidR="007E0F28">
        <w:rPr>
          <w:rFonts w:ascii="Times New Roman" w:hAnsi="Times New Roman" w:cs="Times New Roman"/>
          <w:sz w:val="24"/>
          <w:szCs w:val="24"/>
        </w:rPr>
        <w:t>dobu</w:t>
      </w:r>
      <w:r w:rsidR="009B710E">
        <w:rPr>
          <w:rFonts w:ascii="Times New Roman" w:hAnsi="Times New Roman" w:cs="Times New Roman"/>
          <w:sz w:val="24"/>
          <w:szCs w:val="24"/>
        </w:rPr>
        <w:t xml:space="preserve"> </w:t>
      </w:r>
      <w:r w:rsidR="007E0F28">
        <w:rPr>
          <w:rFonts w:ascii="Times New Roman" w:hAnsi="Times New Roman" w:cs="Times New Roman"/>
          <w:sz w:val="24"/>
          <w:szCs w:val="24"/>
        </w:rPr>
        <w:t>3 realizačných období. V každom z období bude na realizáciu poskytnutá suma 500 eur, teda tretina zo súhrnnej sumy, pričom v každom období sa na financovaní budú presne rovnakým dielom podieľať</w:t>
      </w:r>
      <w:r w:rsidR="008323B6">
        <w:rPr>
          <w:rFonts w:ascii="Times New Roman" w:hAnsi="Times New Roman" w:cs="Times New Roman"/>
          <w:sz w:val="24"/>
          <w:szCs w:val="24"/>
        </w:rPr>
        <w:t xml:space="preserve"> obe zúčastnené strany sumou 250 eur. </w:t>
      </w:r>
      <w:r w:rsidR="005B0A1D">
        <w:rPr>
          <w:rFonts w:ascii="Times New Roman" w:hAnsi="Times New Roman" w:cs="Times New Roman"/>
          <w:sz w:val="24"/>
          <w:szCs w:val="24"/>
        </w:rPr>
        <w:t xml:space="preserve">Realizačné obdobia sú rozvrhnuté v tabuľke </w:t>
      </w:r>
      <w:r w:rsidR="00692DC2">
        <w:rPr>
          <w:rFonts w:ascii="Times New Roman" w:hAnsi="Times New Roman" w:cs="Times New Roman"/>
          <w:sz w:val="24"/>
          <w:szCs w:val="24"/>
        </w:rPr>
        <w:t>2</w:t>
      </w:r>
      <w:r w:rsidR="005B0A1D">
        <w:rPr>
          <w:rFonts w:ascii="Times New Roman" w:hAnsi="Times New Roman" w:cs="Times New Roman"/>
          <w:sz w:val="24"/>
          <w:szCs w:val="24"/>
        </w:rPr>
        <w:t>.</w:t>
      </w:r>
      <w:r w:rsidR="003D58F7">
        <w:rPr>
          <w:rFonts w:ascii="Times New Roman" w:hAnsi="Times New Roman" w:cs="Times New Roman"/>
          <w:sz w:val="24"/>
          <w:szCs w:val="24"/>
        </w:rPr>
        <w:t xml:space="preserve"> </w:t>
      </w:r>
      <w:r w:rsidR="00031345">
        <w:rPr>
          <w:rFonts w:ascii="Times New Roman" w:hAnsi="Times New Roman" w:cs="Times New Roman"/>
          <w:sz w:val="24"/>
          <w:szCs w:val="24"/>
        </w:rPr>
        <w:t>Realizácia financovania Projektu v jednotlivých realizačných obdobiach je nasledovná.</w:t>
      </w:r>
      <w:r w:rsidR="00D34A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1886"/>
        <w:gridCol w:w="208"/>
        <w:gridCol w:w="1306"/>
        <w:gridCol w:w="1385"/>
        <w:gridCol w:w="1385"/>
      </w:tblGrid>
      <w:tr w:rsidR="00DC6CEB" w:rsidRPr="00B92D90" w:rsidTr="00DC6CEB">
        <w:trPr>
          <w:trHeight w:val="303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b/>
                <w:bCs/>
                <w:color w:val="1F497D"/>
                <w:lang w:eastAsia="sk-SK"/>
              </w:rPr>
              <w:t>Realizačné obdobie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b/>
                <w:bCs/>
                <w:color w:val="1F497D"/>
                <w:lang w:eastAsia="sk-SK"/>
              </w:rPr>
              <w:t>Trvanie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6CEB" w:rsidRPr="00B92D90" w:rsidRDefault="00DC6CEB" w:rsidP="00DC6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lang w:eastAsia="sk-SK"/>
              </w:rPr>
              <w:t>Financovanie</w:t>
            </w:r>
          </w:p>
        </w:tc>
      </w:tr>
      <w:tr w:rsidR="00DC6CEB" w:rsidRPr="00B92D90" w:rsidTr="00DC6CEB">
        <w:trPr>
          <w:trHeight w:val="303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sk-SK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sk-SK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6CEB" w:rsidRPr="00B92D90" w:rsidRDefault="00DC6CEB" w:rsidP="00DC6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lang w:eastAsia="sk-SK"/>
              </w:rPr>
              <w:t>Študentská rada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6CEB" w:rsidRPr="00B92D90" w:rsidRDefault="00DC6CEB" w:rsidP="00DC6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lang w:eastAsia="sk-SK"/>
              </w:rPr>
              <w:t>Vedenie školy</w:t>
            </w:r>
          </w:p>
        </w:tc>
      </w:tr>
      <w:tr w:rsidR="00DC6CEB" w:rsidRPr="00B92D90" w:rsidTr="001543AC">
        <w:trPr>
          <w:trHeight w:val="30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33"/>
            <w:noWrap/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color w:val="000000"/>
                <w:lang w:eastAsia="sk-SK"/>
              </w:rPr>
              <w:t>Prvé realizačné obdobie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E5" w:themeFill="background2" w:themeFillTint="33"/>
            <w:noWrap/>
            <w:vAlign w:val="center"/>
            <w:hideMark/>
          </w:tcPr>
          <w:p w:rsidR="00DC6CEB" w:rsidRPr="00B92D90" w:rsidRDefault="00DC6CEB" w:rsidP="0097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975560">
              <w:rPr>
                <w:rFonts w:ascii="Calibri" w:eastAsia="Times New Roman" w:hAnsi="Calibri" w:cs="Calibri"/>
                <w:color w:val="000000"/>
                <w:lang w:eastAsia="sk-SK"/>
              </w:rPr>
              <w:t>apríl</w:t>
            </w:r>
            <w:r w:rsidRPr="00B92D9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2010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E5" w:themeFill="background2" w:themeFillTint="33"/>
            <w:noWrap/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E5E5" w:themeFill="background2" w:themeFillTint="33"/>
            <w:noWrap/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color w:val="000000"/>
                <w:lang w:eastAsia="sk-SK"/>
              </w:rPr>
              <w:t>18. jún 2010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E5E5" w:themeFill="background2" w:themeFillTint="33"/>
            <w:vAlign w:val="center"/>
          </w:tcPr>
          <w:p w:rsidR="00DC6CEB" w:rsidRPr="00B92D90" w:rsidRDefault="00DC6CEB" w:rsidP="00DC6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250,00 €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E5E5" w:themeFill="background2" w:themeFillTint="33"/>
            <w:vAlign w:val="center"/>
          </w:tcPr>
          <w:p w:rsidR="00DC6CEB" w:rsidRPr="00B92D90" w:rsidRDefault="00DC6CEB" w:rsidP="00DC6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250,00 €</w:t>
            </w:r>
          </w:p>
        </w:tc>
      </w:tr>
      <w:tr w:rsidR="00DC6CEB" w:rsidRPr="00B92D90" w:rsidTr="001543AC">
        <w:trPr>
          <w:trHeight w:val="30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33"/>
            <w:noWrap/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color w:val="000000"/>
                <w:lang w:eastAsia="sk-SK"/>
              </w:rPr>
              <w:t>Druhé realizačné obdobie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E5" w:themeFill="background2" w:themeFillTint="33"/>
            <w:noWrap/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color w:val="000000"/>
                <w:lang w:eastAsia="sk-SK"/>
              </w:rPr>
              <w:t>2. september 2010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E5" w:themeFill="background2" w:themeFillTint="33"/>
            <w:noWrap/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E5E5" w:themeFill="background2" w:themeFillTint="33"/>
            <w:noWrap/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color w:val="000000"/>
                <w:lang w:eastAsia="sk-SK"/>
              </w:rPr>
              <w:t>17. jún 2011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E5E5" w:themeFill="background2" w:themeFillTint="33"/>
            <w:vAlign w:val="center"/>
          </w:tcPr>
          <w:p w:rsidR="00DC6CEB" w:rsidRPr="00B92D90" w:rsidRDefault="00DC6CEB" w:rsidP="00DC6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250,00 €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E5E5" w:themeFill="background2" w:themeFillTint="33"/>
            <w:vAlign w:val="center"/>
          </w:tcPr>
          <w:p w:rsidR="00DC6CEB" w:rsidRPr="00B92D90" w:rsidRDefault="00DC6CEB" w:rsidP="00DC6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250,00 €</w:t>
            </w:r>
          </w:p>
        </w:tc>
      </w:tr>
      <w:tr w:rsidR="00DC6CEB" w:rsidRPr="00B92D90" w:rsidTr="001543AC">
        <w:trPr>
          <w:trHeight w:val="30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E5E5" w:themeFill="background2" w:themeFillTint="33"/>
            <w:noWrap/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color w:val="000000"/>
                <w:lang w:eastAsia="sk-SK"/>
              </w:rPr>
              <w:t>Tretie realizačné obdobie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 w:themeFill="background2" w:themeFillTint="33"/>
            <w:noWrap/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color w:val="000000"/>
                <w:lang w:eastAsia="sk-SK"/>
              </w:rPr>
              <w:t>5. september 2011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 w:themeFill="background2" w:themeFillTint="33"/>
            <w:noWrap/>
            <w:vAlign w:val="center"/>
            <w:hideMark/>
          </w:tcPr>
          <w:p w:rsidR="00DC6CEB" w:rsidRPr="00B92D90" w:rsidRDefault="00DC6CEB" w:rsidP="00B92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 w:themeFill="background2" w:themeFillTint="33"/>
            <w:noWrap/>
            <w:vAlign w:val="center"/>
            <w:hideMark/>
          </w:tcPr>
          <w:p w:rsidR="00DC6CEB" w:rsidRPr="00B92D90" w:rsidRDefault="00DC6CEB" w:rsidP="0097556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2D90">
              <w:rPr>
                <w:rFonts w:ascii="Calibri" w:eastAsia="Times New Roman" w:hAnsi="Calibri" w:cs="Calibri"/>
                <w:color w:val="000000"/>
                <w:lang w:eastAsia="sk-SK"/>
              </w:rPr>
              <w:t>31. máj 201</w:t>
            </w:r>
            <w:r w:rsidR="0097556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 w:themeFill="background2" w:themeFillTint="33"/>
            <w:vAlign w:val="center"/>
          </w:tcPr>
          <w:p w:rsidR="00DC6CEB" w:rsidRPr="00B92D90" w:rsidRDefault="00DC6CEB" w:rsidP="00DC6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250,00 €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 w:themeFill="background2" w:themeFillTint="33"/>
            <w:vAlign w:val="center"/>
          </w:tcPr>
          <w:p w:rsidR="00DC6CEB" w:rsidRPr="00B92D90" w:rsidRDefault="00DC6CEB" w:rsidP="00DC6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250,00 €</w:t>
            </w:r>
          </w:p>
        </w:tc>
      </w:tr>
    </w:tbl>
    <w:p w:rsidR="005B0A1D" w:rsidRPr="00C75E9C" w:rsidRDefault="00B92D90" w:rsidP="00C75E9C">
      <w:pPr>
        <w:pStyle w:val="Titulek"/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9C">
        <w:rPr>
          <w:color w:val="000000" w:themeColor="text1"/>
        </w:rPr>
        <w:t xml:space="preserve">Tab.  </w:t>
      </w:r>
      <w:r w:rsidR="00C75310">
        <w:rPr>
          <w:color w:val="000000" w:themeColor="text1"/>
        </w:rPr>
        <w:t>2</w:t>
      </w:r>
      <w:r w:rsidRPr="00C75E9C">
        <w:rPr>
          <w:color w:val="000000" w:themeColor="text1"/>
        </w:rPr>
        <w:t xml:space="preserve"> </w:t>
      </w:r>
      <w:r w:rsidR="00C75E9C" w:rsidRPr="00C75E9C">
        <w:rPr>
          <w:color w:val="000000" w:themeColor="text1"/>
        </w:rPr>
        <w:t>Rozvrhnutie realizačných období</w:t>
      </w:r>
    </w:p>
    <w:p w:rsidR="009660B8" w:rsidRDefault="005B0A1D" w:rsidP="00B420C6">
      <w:pPr>
        <w:pStyle w:val="SSS2"/>
      </w:pPr>
      <w:r>
        <w:lastRenderedPageBreak/>
        <w:t xml:space="preserve"> </w:t>
      </w:r>
      <w:r w:rsidR="009660B8">
        <w:t>0.2 Návrh využitia finančných prostriedkov</w:t>
      </w:r>
    </w:p>
    <w:p w:rsidR="009660B8" w:rsidRDefault="009660B8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0" w:rsidRDefault="00E8263A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1320">
        <w:rPr>
          <w:rFonts w:ascii="Times New Roman" w:hAnsi="Times New Roman" w:cs="Times New Roman"/>
          <w:sz w:val="24"/>
          <w:szCs w:val="24"/>
        </w:rPr>
        <w:t>Cieľom P</w:t>
      </w:r>
      <w:r w:rsidR="00B420C6">
        <w:rPr>
          <w:rFonts w:ascii="Times New Roman" w:hAnsi="Times New Roman" w:cs="Times New Roman"/>
          <w:sz w:val="24"/>
          <w:szCs w:val="24"/>
        </w:rPr>
        <w:t xml:space="preserve">rojektu je </w:t>
      </w:r>
      <w:r w:rsidR="002044F0">
        <w:rPr>
          <w:rFonts w:ascii="Times New Roman" w:hAnsi="Times New Roman" w:cs="Times New Roman"/>
          <w:sz w:val="24"/>
          <w:szCs w:val="24"/>
        </w:rPr>
        <w:t>skvalitniť</w:t>
      </w:r>
      <w:r w:rsidR="005B3A9E">
        <w:rPr>
          <w:rFonts w:ascii="Times New Roman" w:hAnsi="Times New Roman" w:cs="Times New Roman"/>
          <w:sz w:val="24"/>
          <w:szCs w:val="24"/>
        </w:rPr>
        <w:t xml:space="preserve"> a obohatiť</w:t>
      </w:r>
      <w:r w:rsidR="002044F0">
        <w:rPr>
          <w:rFonts w:ascii="Times New Roman" w:hAnsi="Times New Roman" w:cs="Times New Roman"/>
          <w:sz w:val="24"/>
          <w:szCs w:val="24"/>
        </w:rPr>
        <w:t xml:space="preserve"> vyučovací </w:t>
      </w:r>
      <w:r w:rsidR="005B3A9E">
        <w:rPr>
          <w:rFonts w:ascii="Times New Roman" w:hAnsi="Times New Roman" w:cs="Times New Roman"/>
          <w:sz w:val="24"/>
          <w:szCs w:val="24"/>
        </w:rPr>
        <w:t xml:space="preserve">proces v chemickom laboratóriu v nadväznosti na obsahový rozsah učiva predmetu chémia v zhode so Školským vzdelávacím programom Gymnázia, Trebišovská 12 v Košiciach. </w:t>
      </w:r>
    </w:p>
    <w:p w:rsidR="00FA6501" w:rsidRDefault="00FA6501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Podmienkou </w:t>
      </w:r>
      <w:r w:rsidR="00EB1320">
        <w:rPr>
          <w:rFonts w:ascii="Times New Roman" w:hAnsi="Times New Roman" w:cs="Times New Roman"/>
          <w:sz w:val="24"/>
          <w:szCs w:val="24"/>
        </w:rPr>
        <w:t xml:space="preserve">realizácie </w:t>
      </w:r>
      <w:r>
        <w:rPr>
          <w:rFonts w:ascii="Times New Roman" w:hAnsi="Times New Roman" w:cs="Times New Roman"/>
          <w:sz w:val="24"/>
          <w:szCs w:val="24"/>
        </w:rPr>
        <w:t>Projektu je využitie finančných prostriedkov v </w:t>
      </w:r>
      <w:r w:rsidR="003D6CAF">
        <w:rPr>
          <w:rFonts w:ascii="Times New Roman" w:hAnsi="Times New Roman" w:cs="Times New Roman"/>
          <w:sz w:val="24"/>
          <w:szCs w:val="24"/>
        </w:rPr>
        <w:t>štyroch</w:t>
      </w:r>
      <w:r>
        <w:rPr>
          <w:rFonts w:ascii="Times New Roman" w:hAnsi="Times New Roman" w:cs="Times New Roman"/>
          <w:sz w:val="24"/>
          <w:szCs w:val="24"/>
        </w:rPr>
        <w:t xml:space="preserve"> základných blokoch</w:t>
      </w:r>
      <w:r w:rsidR="00D06E84">
        <w:rPr>
          <w:rFonts w:ascii="Times New Roman" w:hAnsi="Times New Roman" w:cs="Times New Roman"/>
          <w:sz w:val="24"/>
          <w:szCs w:val="24"/>
        </w:rPr>
        <w:t xml:space="preserve"> – konkrétne v </w:t>
      </w:r>
      <w:r w:rsidR="0036157D">
        <w:rPr>
          <w:rFonts w:ascii="Times New Roman" w:hAnsi="Times New Roman" w:cs="Times New Roman"/>
          <w:sz w:val="24"/>
          <w:szCs w:val="24"/>
        </w:rPr>
        <w:t>tabuľke</w:t>
      </w:r>
      <w:r w:rsidR="00D06E8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261FF" w:rsidRDefault="000261FF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995" w:type="dxa"/>
        <w:tblLook w:val="04A0"/>
      </w:tblPr>
      <w:tblGrid>
        <w:gridCol w:w="1254"/>
        <w:gridCol w:w="4553"/>
        <w:gridCol w:w="3188"/>
      </w:tblGrid>
      <w:tr w:rsidR="00D232C9" w:rsidTr="00D06E84">
        <w:trPr>
          <w:trHeight w:val="352"/>
        </w:trPr>
        <w:tc>
          <w:tcPr>
            <w:tcW w:w="1254" w:type="dxa"/>
            <w:vAlign w:val="center"/>
          </w:tcPr>
          <w:p w:rsidR="00D232C9" w:rsidRPr="00D06E84" w:rsidRDefault="00D232C9" w:rsidP="00D06E84">
            <w:pPr>
              <w:jc w:val="center"/>
              <w:rPr>
                <w:rFonts w:ascii="Calibri" w:eastAsia="Times New Roman" w:hAnsi="Calibri" w:cs="Calibri"/>
                <w:b/>
                <w:bCs/>
                <w:color w:val="191966" w:themeColor="accent2" w:themeShade="8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b/>
                <w:bCs/>
                <w:color w:val="191966" w:themeColor="accent2" w:themeShade="80"/>
                <w:lang w:eastAsia="sk-SK"/>
              </w:rPr>
              <w:t>Č. bloku</w:t>
            </w:r>
          </w:p>
        </w:tc>
        <w:tc>
          <w:tcPr>
            <w:tcW w:w="4553" w:type="dxa"/>
            <w:vAlign w:val="center"/>
          </w:tcPr>
          <w:p w:rsidR="00D232C9" w:rsidRPr="00D06E84" w:rsidRDefault="00D232C9" w:rsidP="00D06E84">
            <w:pPr>
              <w:jc w:val="center"/>
              <w:rPr>
                <w:rFonts w:ascii="Calibri" w:eastAsia="Times New Roman" w:hAnsi="Calibri" w:cs="Calibri"/>
                <w:b/>
                <w:bCs/>
                <w:color w:val="191966" w:themeColor="accent2" w:themeShade="8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b/>
                <w:bCs/>
                <w:color w:val="191966" w:themeColor="accent2" w:themeShade="80"/>
                <w:lang w:eastAsia="sk-SK"/>
              </w:rPr>
              <w:t>Názov bloku</w:t>
            </w:r>
          </w:p>
        </w:tc>
        <w:tc>
          <w:tcPr>
            <w:tcW w:w="3188" w:type="dxa"/>
            <w:vAlign w:val="center"/>
          </w:tcPr>
          <w:p w:rsidR="00D232C9" w:rsidRPr="00D06E84" w:rsidRDefault="00D232C9" w:rsidP="00D06E84">
            <w:pPr>
              <w:jc w:val="center"/>
              <w:rPr>
                <w:rFonts w:ascii="Calibri" w:eastAsia="Times New Roman" w:hAnsi="Calibri" w:cs="Calibri"/>
                <w:b/>
                <w:bCs/>
                <w:color w:val="191966" w:themeColor="accent2" w:themeShade="8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b/>
                <w:bCs/>
                <w:color w:val="191966" w:themeColor="accent2" w:themeShade="80"/>
                <w:lang w:eastAsia="sk-SK"/>
              </w:rPr>
              <w:t>Stručná charakteristika</w:t>
            </w:r>
          </w:p>
        </w:tc>
      </w:tr>
      <w:tr w:rsidR="00D232C9" w:rsidTr="001543AC">
        <w:trPr>
          <w:trHeight w:val="544"/>
        </w:trPr>
        <w:tc>
          <w:tcPr>
            <w:tcW w:w="1254" w:type="dxa"/>
            <w:shd w:val="clear" w:color="auto" w:fill="E5E5E5" w:themeFill="background2" w:themeFillTint="33"/>
            <w:vAlign w:val="center"/>
          </w:tcPr>
          <w:p w:rsidR="00D232C9" w:rsidRPr="00D06E84" w:rsidRDefault="00D232C9" w:rsidP="00D06E84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color w:val="000000"/>
                <w:lang w:eastAsia="sk-SK"/>
              </w:rPr>
              <w:t>01</w:t>
            </w:r>
          </w:p>
        </w:tc>
        <w:tc>
          <w:tcPr>
            <w:tcW w:w="4553" w:type="dxa"/>
            <w:shd w:val="clear" w:color="auto" w:fill="E5E5E5" w:themeFill="background2" w:themeFillTint="33"/>
            <w:vAlign w:val="center"/>
          </w:tcPr>
          <w:p w:rsidR="00D232C9" w:rsidRPr="00D06E84" w:rsidRDefault="003D6CAF" w:rsidP="00D06E8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color w:val="000000"/>
                <w:lang w:eastAsia="sk-SK"/>
              </w:rPr>
              <w:t>Hygienická revitalizácia priestorov</w:t>
            </w:r>
          </w:p>
        </w:tc>
        <w:tc>
          <w:tcPr>
            <w:tcW w:w="3188" w:type="dxa"/>
            <w:shd w:val="clear" w:color="auto" w:fill="E5E5E5" w:themeFill="background2" w:themeFillTint="33"/>
            <w:vAlign w:val="center"/>
          </w:tcPr>
          <w:p w:rsidR="00D232C9" w:rsidRPr="00D06E84" w:rsidRDefault="003D6CAF" w:rsidP="00D06E84">
            <w:pPr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proofErr w:type="spellStart"/>
            <w:r w:rsidRPr="00D06E84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výmaľovka</w:t>
            </w:r>
            <w:proofErr w:type="spellEnd"/>
            <w:r w:rsidRPr="00D06E84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, oprava vodovodných rozvodov, revízna kontrola plynového vedenia, kachličky</w:t>
            </w:r>
          </w:p>
        </w:tc>
      </w:tr>
      <w:tr w:rsidR="00D232C9" w:rsidTr="001543AC">
        <w:trPr>
          <w:trHeight w:val="525"/>
        </w:trPr>
        <w:tc>
          <w:tcPr>
            <w:tcW w:w="1254" w:type="dxa"/>
            <w:shd w:val="clear" w:color="auto" w:fill="E5E5E5" w:themeFill="background2" w:themeFillTint="33"/>
            <w:vAlign w:val="center"/>
          </w:tcPr>
          <w:p w:rsidR="00D232C9" w:rsidRPr="00D06E84" w:rsidRDefault="00D232C9" w:rsidP="00D06E84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color w:val="000000"/>
                <w:lang w:eastAsia="sk-SK"/>
              </w:rPr>
              <w:t>02</w:t>
            </w:r>
          </w:p>
        </w:tc>
        <w:tc>
          <w:tcPr>
            <w:tcW w:w="4553" w:type="dxa"/>
            <w:shd w:val="clear" w:color="auto" w:fill="E5E5E5" w:themeFill="background2" w:themeFillTint="33"/>
            <w:vAlign w:val="center"/>
          </w:tcPr>
          <w:p w:rsidR="00D232C9" w:rsidRPr="00D06E84" w:rsidRDefault="003D6CAF" w:rsidP="00D06E8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color w:val="000000"/>
                <w:lang w:eastAsia="sk-SK"/>
              </w:rPr>
              <w:t>Materiálová revitalizácia nábytkových častí</w:t>
            </w:r>
          </w:p>
        </w:tc>
        <w:tc>
          <w:tcPr>
            <w:tcW w:w="3188" w:type="dxa"/>
            <w:shd w:val="clear" w:color="auto" w:fill="E5E5E5" w:themeFill="background2" w:themeFillTint="33"/>
            <w:vAlign w:val="center"/>
          </w:tcPr>
          <w:p w:rsidR="00D232C9" w:rsidRPr="00D06E84" w:rsidRDefault="003D6CAF" w:rsidP="00D06E84">
            <w:pPr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nábytok (skrinky, poličky...)</w:t>
            </w:r>
          </w:p>
        </w:tc>
      </w:tr>
      <w:tr w:rsidR="00D232C9" w:rsidTr="001543AC">
        <w:trPr>
          <w:trHeight w:val="544"/>
        </w:trPr>
        <w:tc>
          <w:tcPr>
            <w:tcW w:w="1254" w:type="dxa"/>
            <w:shd w:val="clear" w:color="auto" w:fill="E5E5E5" w:themeFill="background2" w:themeFillTint="33"/>
            <w:vAlign w:val="center"/>
          </w:tcPr>
          <w:p w:rsidR="00D232C9" w:rsidRPr="00D06E84" w:rsidRDefault="00D232C9" w:rsidP="00D06E84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color w:val="000000"/>
                <w:lang w:eastAsia="sk-SK"/>
              </w:rPr>
              <w:t>03</w:t>
            </w:r>
          </w:p>
        </w:tc>
        <w:tc>
          <w:tcPr>
            <w:tcW w:w="4553" w:type="dxa"/>
            <w:shd w:val="clear" w:color="auto" w:fill="E5E5E5" w:themeFill="background2" w:themeFillTint="33"/>
            <w:vAlign w:val="center"/>
          </w:tcPr>
          <w:p w:rsidR="00D232C9" w:rsidRPr="00D06E84" w:rsidRDefault="003D6CAF" w:rsidP="00D06E8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color w:val="000000"/>
                <w:lang w:eastAsia="sk-SK"/>
              </w:rPr>
              <w:t>Revitalizácia a obohatenie chemického vybavenia</w:t>
            </w:r>
          </w:p>
        </w:tc>
        <w:tc>
          <w:tcPr>
            <w:tcW w:w="3188" w:type="dxa"/>
            <w:shd w:val="clear" w:color="auto" w:fill="E5E5E5" w:themeFill="background2" w:themeFillTint="33"/>
            <w:vAlign w:val="center"/>
          </w:tcPr>
          <w:p w:rsidR="00D232C9" w:rsidRPr="00D06E84" w:rsidRDefault="003D6CAF" w:rsidP="00D06E84">
            <w:pPr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chemický materiál</w:t>
            </w:r>
          </w:p>
        </w:tc>
      </w:tr>
      <w:tr w:rsidR="003D6CAF" w:rsidTr="001543AC">
        <w:trPr>
          <w:trHeight w:val="544"/>
        </w:trPr>
        <w:tc>
          <w:tcPr>
            <w:tcW w:w="1254" w:type="dxa"/>
            <w:shd w:val="clear" w:color="auto" w:fill="E5E5E5" w:themeFill="background2" w:themeFillTint="33"/>
            <w:vAlign w:val="center"/>
          </w:tcPr>
          <w:p w:rsidR="003D6CAF" w:rsidRPr="00D06E84" w:rsidRDefault="003D6CAF" w:rsidP="00D06E84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color w:val="000000"/>
                <w:lang w:eastAsia="sk-SK"/>
              </w:rPr>
              <w:t>04</w:t>
            </w:r>
          </w:p>
        </w:tc>
        <w:tc>
          <w:tcPr>
            <w:tcW w:w="4553" w:type="dxa"/>
            <w:shd w:val="clear" w:color="auto" w:fill="E5E5E5" w:themeFill="background2" w:themeFillTint="33"/>
            <w:vAlign w:val="center"/>
          </w:tcPr>
          <w:p w:rsidR="003D6CAF" w:rsidRPr="00D06E84" w:rsidRDefault="003D6CAF" w:rsidP="00D06E8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color w:val="000000"/>
                <w:lang w:eastAsia="sk-SK"/>
              </w:rPr>
              <w:t>Revitalizácia a obohatenie súboru chemikálií</w:t>
            </w:r>
          </w:p>
        </w:tc>
        <w:tc>
          <w:tcPr>
            <w:tcW w:w="3188" w:type="dxa"/>
            <w:shd w:val="clear" w:color="auto" w:fill="E5E5E5" w:themeFill="background2" w:themeFillTint="33"/>
            <w:vAlign w:val="center"/>
          </w:tcPr>
          <w:p w:rsidR="003D6CAF" w:rsidRPr="00D06E84" w:rsidRDefault="003D6CAF" w:rsidP="00D06E84">
            <w:pPr>
              <w:keepNext/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r w:rsidRPr="00D06E84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chemikálie</w:t>
            </w:r>
          </w:p>
        </w:tc>
      </w:tr>
    </w:tbl>
    <w:p w:rsidR="00D232C9" w:rsidRPr="00D06E84" w:rsidRDefault="00D06E84" w:rsidP="00D06E84">
      <w:pPr>
        <w:pStyle w:val="Titulek"/>
        <w:spacing w:before="120"/>
        <w:rPr>
          <w:color w:val="000000" w:themeColor="text1"/>
        </w:rPr>
      </w:pPr>
      <w:r w:rsidRPr="00D06E84">
        <w:rPr>
          <w:color w:val="000000" w:themeColor="text1"/>
        </w:rPr>
        <w:t xml:space="preserve">Tab.  </w:t>
      </w:r>
      <w:r w:rsidR="00C75310">
        <w:rPr>
          <w:color w:val="000000" w:themeColor="text1"/>
        </w:rPr>
        <w:t>3</w:t>
      </w:r>
      <w:r w:rsidRPr="00D06E84">
        <w:rPr>
          <w:color w:val="000000" w:themeColor="text1"/>
        </w:rPr>
        <w:t xml:space="preserve"> Usporiadanie výdavkových cieľov do plánovacích blokov</w:t>
      </w:r>
    </w:p>
    <w:p w:rsidR="001066B0" w:rsidRDefault="00D06E84" w:rsidP="00D06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EB1320">
        <w:rPr>
          <w:rFonts w:ascii="Times New Roman" w:hAnsi="Times New Roman" w:cs="Times New Roman"/>
          <w:sz w:val="24"/>
          <w:szCs w:val="24"/>
        </w:rPr>
        <w:t xml:space="preserve">V prípade nevyužitia poskytnutých finančných prostriedkov na všetky </w:t>
      </w:r>
      <w:r w:rsidR="0036157D">
        <w:rPr>
          <w:rFonts w:ascii="Times New Roman" w:hAnsi="Times New Roman" w:cs="Times New Roman"/>
          <w:sz w:val="24"/>
          <w:szCs w:val="24"/>
        </w:rPr>
        <w:t>štyri</w:t>
      </w:r>
      <w:r w:rsidR="00EB1320">
        <w:rPr>
          <w:rFonts w:ascii="Times New Roman" w:hAnsi="Times New Roman" w:cs="Times New Roman"/>
          <w:sz w:val="24"/>
          <w:szCs w:val="24"/>
        </w:rPr>
        <w:t xml:space="preserve"> bloky je povinný </w:t>
      </w:r>
      <w:proofErr w:type="spellStart"/>
      <w:r w:rsidR="00EB1320">
        <w:rPr>
          <w:rFonts w:ascii="Times New Roman" w:hAnsi="Times New Roman" w:cs="Times New Roman"/>
          <w:sz w:val="24"/>
          <w:szCs w:val="24"/>
        </w:rPr>
        <w:t>realizovateľ</w:t>
      </w:r>
      <w:proofErr w:type="spellEnd"/>
      <w:r w:rsidR="00EB1320">
        <w:rPr>
          <w:rFonts w:ascii="Times New Roman" w:hAnsi="Times New Roman" w:cs="Times New Roman"/>
          <w:sz w:val="24"/>
          <w:szCs w:val="24"/>
        </w:rPr>
        <w:t xml:space="preserve"> Projektu súhrnnú sumu finančných prostriedkov, </w:t>
      </w:r>
      <w:r w:rsidR="00DE28D4">
        <w:rPr>
          <w:rFonts w:ascii="Times New Roman" w:hAnsi="Times New Roman" w:cs="Times New Roman"/>
          <w:sz w:val="24"/>
          <w:szCs w:val="24"/>
        </w:rPr>
        <w:t xml:space="preserve">teda </w:t>
      </w:r>
      <w:r w:rsidR="00EB1320">
        <w:rPr>
          <w:rFonts w:ascii="Times New Roman" w:hAnsi="Times New Roman" w:cs="Times New Roman"/>
          <w:sz w:val="24"/>
          <w:szCs w:val="24"/>
        </w:rPr>
        <w:t xml:space="preserve">1 500,00 eur, </w:t>
      </w:r>
      <w:r w:rsidR="00EB1320" w:rsidRPr="0036157D">
        <w:rPr>
          <w:rFonts w:ascii="Times New Roman" w:hAnsi="Times New Roman" w:cs="Times New Roman"/>
          <w:b/>
          <w:sz w:val="24"/>
          <w:szCs w:val="24"/>
        </w:rPr>
        <w:t>vrátiť</w:t>
      </w:r>
      <w:r w:rsidR="00EB1320">
        <w:rPr>
          <w:rFonts w:ascii="Times New Roman" w:hAnsi="Times New Roman" w:cs="Times New Roman"/>
          <w:sz w:val="24"/>
          <w:szCs w:val="24"/>
        </w:rPr>
        <w:t xml:space="preserve"> ich poskytovateľom, Študentskej rade a vedeniu školy.</w:t>
      </w:r>
      <w:r w:rsidR="00D232C9">
        <w:rPr>
          <w:rFonts w:ascii="Times New Roman" w:hAnsi="Times New Roman" w:cs="Times New Roman"/>
          <w:sz w:val="24"/>
          <w:szCs w:val="24"/>
        </w:rPr>
        <w:t xml:space="preserve"> Pomerné zastúpenie finančných prostriedkov</w:t>
      </w:r>
      <w:r w:rsidR="00DE28D4">
        <w:rPr>
          <w:rFonts w:ascii="Times New Roman" w:hAnsi="Times New Roman" w:cs="Times New Roman"/>
          <w:sz w:val="24"/>
          <w:szCs w:val="24"/>
        </w:rPr>
        <w:t xml:space="preserve"> určených na jednotlivé bloky</w:t>
      </w:r>
      <w:r w:rsidR="00D232C9">
        <w:rPr>
          <w:rFonts w:ascii="Times New Roman" w:hAnsi="Times New Roman" w:cs="Times New Roman"/>
          <w:sz w:val="24"/>
          <w:szCs w:val="24"/>
        </w:rPr>
        <w:t xml:space="preserve"> je v kompetencii </w:t>
      </w:r>
      <w:r w:rsidR="00C75310">
        <w:rPr>
          <w:rFonts w:ascii="Times New Roman" w:hAnsi="Times New Roman" w:cs="Times New Roman"/>
          <w:sz w:val="24"/>
          <w:szCs w:val="24"/>
        </w:rPr>
        <w:t>koordinátora</w:t>
      </w:r>
      <w:r w:rsidR="00D232C9">
        <w:rPr>
          <w:rFonts w:ascii="Times New Roman" w:hAnsi="Times New Roman" w:cs="Times New Roman"/>
          <w:sz w:val="24"/>
          <w:szCs w:val="24"/>
        </w:rPr>
        <w:t xml:space="preserve"> projektu</w:t>
      </w:r>
      <w:r w:rsidR="00C75310">
        <w:rPr>
          <w:rFonts w:ascii="Times New Roman" w:hAnsi="Times New Roman" w:cs="Times New Roman"/>
          <w:sz w:val="24"/>
          <w:szCs w:val="24"/>
        </w:rPr>
        <w:t xml:space="preserve"> za</w:t>
      </w:r>
      <w:r w:rsidR="00D232C9">
        <w:rPr>
          <w:rFonts w:ascii="Times New Roman" w:hAnsi="Times New Roman" w:cs="Times New Roman"/>
          <w:sz w:val="24"/>
          <w:szCs w:val="24"/>
        </w:rPr>
        <w:t xml:space="preserve"> PK Chémia. </w:t>
      </w:r>
    </w:p>
    <w:p w:rsidR="00031345" w:rsidRDefault="00031345" w:rsidP="00D06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D06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FF" w:rsidRDefault="000261FF" w:rsidP="00D06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FF" w:rsidRDefault="000261FF" w:rsidP="00D06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FF" w:rsidRDefault="000261FF" w:rsidP="00D06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FF" w:rsidRDefault="000261FF" w:rsidP="00D06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961" w:rsidRDefault="00A00961" w:rsidP="00A00961">
      <w:pPr>
        <w:pStyle w:val="SSS2"/>
      </w:pPr>
      <w:r>
        <w:lastRenderedPageBreak/>
        <w:tab/>
        <w:t>Predbežný plán predmetu plánovaných výdavkov v jednotlivých blokoch</w:t>
      </w:r>
    </w:p>
    <w:p w:rsidR="000261FF" w:rsidRDefault="000261FF" w:rsidP="00A00961">
      <w:pPr>
        <w:pStyle w:val="SSS2"/>
      </w:pPr>
    </w:p>
    <w:p w:rsidR="00A00961" w:rsidRPr="00A00961" w:rsidRDefault="00A00961" w:rsidP="00A00961">
      <w:pPr>
        <w:pStyle w:val="SSS2"/>
        <w:jc w:val="center"/>
        <w:rPr>
          <w:i w:val="0"/>
          <w:u w:val="single"/>
        </w:rPr>
      </w:pPr>
      <w:r w:rsidRPr="00A00961">
        <w:rPr>
          <w:i w:val="0"/>
          <w:u w:val="single"/>
        </w:rPr>
        <w:t>Blok 01 – Hygienická revitalizácia priestorov</w:t>
      </w:r>
    </w:p>
    <w:p w:rsidR="00A00961" w:rsidRPr="00A00961" w:rsidRDefault="00A00961" w:rsidP="00A0096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961">
        <w:rPr>
          <w:rFonts w:ascii="Times New Roman" w:hAnsi="Times New Roman" w:cs="Times New Roman"/>
          <w:sz w:val="24"/>
          <w:szCs w:val="24"/>
        </w:rPr>
        <w:t>Výspravka</w:t>
      </w:r>
      <w:proofErr w:type="spellEnd"/>
      <w:r w:rsidRPr="00A0096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A00961">
        <w:rPr>
          <w:rFonts w:ascii="Times New Roman" w:hAnsi="Times New Roman" w:cs="Times New Roman"/>
          <w:sz w:val="24"/>
          <w:szCs w:val="24"/>
        </w:rPr>
        <w:t>výmaľovka</w:t>
      </w:r>
      <w:proofErr w:type="spellEnd"/>
      <w:r w:rsidRPr="00A00961">
        <w:rPr>
          <w:rFonts w:ascii="Times New Roman" w:hAnsi="Times New Roman" w:cs="Times New Roman"/>
          <w:sz w:val="24"/>
          <w:szCs w:val="24"/>
        </w:rPr>
        <w:t xml:space="preserve"> vnútorných stien chemického laboratória a stropu,</w:t>
      </w:r>
    </w:p>
    <w:p w:rsidR="00A00961" w:rsidRPr="00A00961" w:rsidRDefault="00A00961" w:rsidP="00A0096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1">
        <w:rPr>
          <w:rFonts w:ascii="Times New Roman" w:hAnsi="Times New Roman" w:cs="Times New Roman"/>
          <w:sz w:val="24"/>
          <w:szCs w:val="24"/>
        </w:rPr>
        <w:t>konzultácia opravy poškodeného vodovodného potrubia, oprava,</w:t>
      </w:r>
    </w:p>
    <w:p w:rsidR="00A00961" w:rsidRPr="00A00961" w:rsidRDefault="00A00961" w:rsidP="00A0096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1">
        <w:rPr>
          <w:rFonts w:ascii="Times New Roman" w:hAnsi="Times New Roman" w:cs="Times New Roman"/>
          <w:sz w:val="24"/>
          <w:szCs w:val="24"/>
        </w:rPr>
        <w:t>výmena obloženia pracovnej dosky laboratórnych stolov.</w:t>
      </w:r>
    </w:p>
    <w:p w:rsidR="00A00961" w:rsidRPr="00A00961" w:rsidRDefault="00A00961" w:rsidP="00A00961">
      <w:pPr>
        <w:pStyle w:val="SSS2"/>
        <w:jc w:val="center"/>
        <w:rPr>
          <w:i w:val="0"/>
          <w:u w:val="single"/>
        </w:rPr>
      </w:pPr>
      <w:r w:rsidRPr="00A00961">
        <w:rPr>
          <w:i w:val="0"/>
          <w:u w:val="single"/>
        </w:rPr>
        <w:t>Blok 0</w:t>
      </w:r>
      <w:r>
        <w:rPr>
          <w:i w:val="0"/>
          <w:u w:val="single"/>
        </w:rPr>
        <w:t>2</w:t>
      </w:r>
      <w:r w:rsidRPr="00A00961">
        <w:rPr>
          <w:i w:val="0"/>
          <w:u w:val="single"/>
        </w:rPr>
        <w:t xml:space="preserve"> – </w:t>
      </w:r>
      <w:r>
        <w:rPr>
          <w:i w:val="0"/>
          <w:u w:val="single"/>
        </w:rPr>
        <w:t>Materiálová</w:t>
      </w:r>
      <w:r w:rsidRPr="00A00961">
        <w:rPr>
          <w:i w:val="0"/>
          <w:u w:val="single"/>
        </w:rPr>
        <w:t xml:space="preserve"> revitalizácia </w:t>
      </w:r>
      <w:r>
        <w:rPr>
          <w:i w:val="0"/>
          <w:u w:val="single"/>
        </w:rPr>
        <w:t>nábytkových častí</w:t>
      </w:r>
    </w:p>
    <w:p w:rsidR="00A00961" w:rsidRPr="00A00961" w:rsidRDefault="00A00961" w:rsidP="00A0096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1">
        <w:rPr>
          <w:rFonts w:ascii="Times New Roman" w:hAnsi="Times New Roman" w:cs="Times New Roman"/>
          <w:sz w:val="24"/>
          <w:szCs w:val="24"/>
        </w:rPr>
        <w:t>Nákup a inštalácia policovej sústavy,</w:t>
      </w:r>
    </w:p>
    <w:p w:rsidR="00A00961" w:rsidRPr="00A00961" w:rsidRDefault="00A00961" w:rsidP="00A0096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1">
        <w:rPr>
          <w:rFonts w:ascii="Times New Roman" w:hAnsi="Times New Roman" w:cs="Times New Roman"/>
          <w:sz w:val="24"/>
          <w:szCs w:val="24"/>
        </w:rPr>
        <w:t>nákup a inštalácia skrinkovej sústavy – uzatvárateľnej.</w:t>
      </w:r>
    </w:p>
    <w:p w:rsidR="00A00961" w:rsidRDefault="00A00961" w:rsidP="00D06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924" w:rsidRPr="00D90924" w:rsidRDefault="00D90924" w:rsidP="00D90924">
      <w:pPr>
        <w:pStyle w:val="SSS2"/>
        <w:jc w:val="center"/>
        <w:rPr>
          <w:i w:val="0"/>
          <w:u w:val="single"/>
        </w:rPr>
      </w:pPr>
      <w:r>
        <w:rPr>
          <w:i w:val="0"/>
          <w:u w:val="single"/>
        </w:rPr>
        <w:t xml:space="preserve">Blok 03 – </w:t>
      </w:r>
      <w:r w:rsidRPr="00D90924">
        <w:rPr>
          <w:i w:val="0"/>
          <w:u w:val="single"/>
        </w:rPr>
        <w:t>Revitalizácia a</w:t>
      </w:r>
      <w:r>
        <w:rPr>
          <w:i w:val="0"/>
          <w:u w:val="single"/>
        </w:rPr>
        <w:t> obohatenie chemického vybavenia</w:t>
      </w:r>
    </w:p>
    <w:p w:rsidR="00D90924" w:rsidRPr="00FE2662" w:rsidRDefault="00FE2662" w:rsidP="00FE266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62">
        <w:rPr>
          <w:rFonts w:ascii="Times New Roman" w:hAnsi="Times New Roman" w:cs="Times New Roman"/>
          <w:sz w:val="24"/>
          <w:szCs w:val="24"/>
        </w:rPr>
        <w:t>Nákup laboratórnej techniky:</w:t>
      </w:r>
    </w:p>
    <w:p w:rsidR="00FE2662" w:rsidRPr="00FE2662" w:rsidRDefault="00FE2662" w:rsidP="00FE2662">
      <w:pPr>
        <w:pStyle w:val="Odstavecseseznamem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662">
        <w:rPr>
          <w:rFonts w:ascii="Times New Roman" w:hAnsi="Times New Roman" w:cs="Times New Roman"/>
          <w:sz w:val="24"/>
          <w:szCs w:val="24"/>
        </w:rPr>
        <w:t xml:space="preserve">gumové </w:t>
      </w:r>
      <w:r w:rsidR="00F14D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4D60">
        <w:rPr>
          <w:rFonts w:ascii="Times New Roman" w:hAnsi="Times New Roman" w:cs="Times New Roman"/>
          <w:sz w:val="24"/>
          <w:szCs w:val="24"/>
        </w:rPr>
        <w:t>pryžové</w:t>
      </w:r>
      <w:proofErr w:type="spellEnd"/>
      <w:r w:rsidR="00F14D60">
        <w:rPr>
          <w:rFonts w:ascii="Times New Roman" w:hAnsi="Times New Roman" w:cs="Times New Roman"/>
          <w:sz w:val="24"/>
          <w:szCs w:val="24"/>
        </w:rPr>
        <w:t xml:space="preserve">/ </w:t>
      </w:r>
      <w:r w:rsidRPr="00FE2662">
        <w:rPr>
          <w:rFonts w:ascii="Times New Roman" w:hAnsi="Times New Roman" w:cs="Times New Roman"/>
          <w:sz w:val="24"/>
          <w:szCs w:val="24"/>
        </w:rPr>
        <w:t>hadice a hadičky,</w:t>
      </w:r>
    </w:p>
    <w:p w:rsidR="00FE2662" w:rsidRPr="00FE2662" w:rsidRDefault="00FE2662" w:rsidP="00FE2662">
      <w:pPr>
        <w:pStyle w:val="Odstavecseseznamem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662">
        <w:rPr>
          <w:rFonts w:ascii="Times New Roman" w:hAnsi="Times New Roman" w:cs="Times New Roman"/>
          <w:sz w:val="24"/>
          <w:szCs w:val="24"/>
        </w:rPr>
        <w:t>lakmusový papier,</w:t>
      </w:r>
    </w:p>
    <w:p w:rsidR="00FE2662" w:rsidRDefault="005845B0" w:rsidP="00FE2662">
      <w:pPr>
        <w:pStyle w:val="Odstavecseseznamem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845B0">
        <w:rPr>
          <w:rFonts w:ascii="Times New Roman" w:hAnsi="Times New Roman" w:cs="Times New Roman"/>
          <w:sz w:val="24"/>
          <w:szCs w:val="24"/>
        </w:rPr>
        <w:t>odstavec korkový pre banky s guľatým dnom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45B0" w:rsidRDefault="005845B0" w:rsidP="00FE2662">
      <w:pPr>
        <w:pStyle w:val="Odstavecseseznamem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845B0">
        <w:rPr>
          <w:rFonts w:ascii="Times New Roman" w:hAnsi="Times New Roman" w:cs="Times New Roman"/>
          <w:sz w:val="24"/>
          <w:szCs w:val="24"/>
        </w:rPr>
        <w:t xml:space="preserve">hňapka Hot </w:t>
      </w:r>
      <w:proofErr w:type="spellStart"/>
      <w:r w:rsidRPr="005845B0">
        <w:rPr>
          <w:rFonts w:ascii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845B0" w:rsidRDefault="005845B0" w:rsidP="00FE2662">
      <w:pPr>
        <w:pStyle w:val="Odstavecseseznamem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845B0">
        <w:rPr>
          <w:rFonts w:ascii="Times New Roman" w:hAnsi="Times New Roman" w:cs="Times New Roman"/>
          <w:sz w:val="24"/>
          <w:szCs w:val="24"/>
        </w:rPr>
        <w:t>rúžky testovacie AQUADUR - pre stanovenie tvrdosti vody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45B0" w:rsidRDefault="005845B0" w:rsidP="00FE2662">
      <w:pPr>
        <w:pStyle w:val="Odstavecseseznamem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845B0">
        <w:rPr>
          <w:rFonts w:ascii="Times New Roman" w:hAnsi="Times New Roman" w:cs="Times New Roman"/>
          <w:sz w:val="24"/>
          <w:szCs w:val="24"/>
        </w:rPr>
        <w:t>yžička chemická obojstranná</w:t>
      </w:r>
      <w:r>
        <w:rPr>
          <w:rFonts w:ascii="Times New Roman" w:hAnsi="Times New Roman" w:cs="Times New Roman"/>
          <w:sz w:val="24"/>
          <w:szCs w:val="24"/>
        </w:rPr>
        <w:t xml:space="preserve"> (nerezová),</w:t>
      </w:r>
    </w:p>
    <w:p w:rsidR="005845B0" w:rsidRDefault="005845B0" w:rsidP="00FE2662">
      <w:pPr>
        <w:pStyle w:val="Odstavecseseznamem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845B0">
        <w:rPr>
          <w:rFonts w:ascii="Times New Roman" w:hAnsi="Times New Roman" w:cs="Times New Roman"/>
          <w:sz w:val="24"/>
          <w:szCs w:val="24"/>
        </w:rPr>
        <w:t xml:space="preserve">ahan </w:t>
      </w:r>
      <w:proofErr w:type="spellStart"/>
      <w:r w:rsidRPr="005845B0">
        <w:rPr>
          <w:rFonts w:ascii="Times New Roman" w:hAnsi="Times New Roman" w:cs="Times New Roman"/>
          <w:sz w:val="24"/>
          <w:szCs w:val="24"/>
        </w:rPr>
        <w:t>Bunsen</w:t>
      </w:r>
      <w:proofErr w:type="spellEnd"/>
      <w:r w:rsidRPr="005845B0">
        <w:rPr>
          <w:rFonts w:ascii="Times New Roman" w:hAnsi="Times New Roman" w:cs="Times New Roman"/>
          <w:sz w:val="24"/>
          <w:szCs w:val="24"/>
        </w:rPr>
        <w:t xml:space="preserve"> s ihlovým ventilom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4D60" w:rsidRDefault="005845B0" w:rsidP="00F14D60">
      <w:pPr>
        <w:pStyle w:val="Odstavecseseznamem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845B0">
        <w:rPr>
          <w:rFonts w:ascii="Times New Roman" w:hAnsi="Times New Roman" w:cs="Times New Roman"/>
          <w:sz w:val="24"/>
          <w:szCs w:val="24"/>
        </w:rPr>
        <w:t>tojan na skúmavky, nerezový, guľatý</w:t>
      </w:r>
      <w:r w:rsidR="00D007FA">
        <w:rPr>
          <w:rFonts w:ascii="Times New Roman" w:hAnsi="Times New Roman" w:cs="Times New Roman"/>
          <w:sz w:val="24"/>
          <w:szCs w:val="24"/>
        </w:rPr>
        <w:t>.</w:t>
      </w:r>
    </w:p>
    <w:p w:rsidR="00F14D60" w:rsidRPr="00F14D60" w:rsidRDefault="00F14D60" w:rsidP="00F14D60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22833" w:rsidRPr="00D90924" w:rsidRDefault="00E22833" w:rsidP="00E22833">
      <w:pPr>
        <w:pStyle w:val="SSS2"/>
        <w:numPr>
          <w:ilvl w:val="0"/>
          <w:numId w:val="0"/>
        </w:numPr>
        <w:ind w:left="720"/>
        <w:jc w:val="center"/>
        <w:rPr>
          <w:i w:val="0"/>
          <w:u w:val="single"/>
        </w:rPr>
      </w:pPr>
      <w:r>
        <w:rPr>
          <w:i w:val="0"/>
          <w:u w:val="single"/>
        </w:rPr>
        <w:t xml:space="preserve">Blok 04– </w:t>
      </w:r>
      <w:r w:rsidRPr="00D90924">
        <w:rPr>
          <w:i w:val="0"/>
          <w:u w:val="single"/>
        </w:rPr>
        <w:t>Revitalizácia a</w:t>
      </w:r>
      <w:r>
        <w:rPr>
          <w:i w:val="0"/>
          <w:u w:val="single"/>
        </w:rPr>
        <w:t> obohatenie súboru chemikálií</w:t>
      </w:r>
    </w:p>
    <w:p w:rsidR="00E22833" w:rsidRDefault="00E22833" w:rsidP="0083735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33">
        <w:rPr>
          <w:rFonts w:ascii="Times New Roman" w:hAnsi="Times New Roman" w:cs="Times New Roman"/>
          <w:sz w:val="24"/>
          <w:szCs w:val="24"/>
        </w:rPr>
        <w:t xml:space="preserve">Nákup </w:t>
      </w:r>
      <w:r w:rsidR="00837359">
        <w:rPr>
          <w:rFonts w:ascii="Times New Roman" w:hAnsi="Times New Roman" w:cs="Times New Roman"/>
          <w:sz w:val="24"/>
          <w:szCs w:val="24"/>
        </w:rPr>
        <w:t xml:space="preserve">chemikálií </w:t>
      </w:r>
      <w:r w:rsidR="00D007FA">
        <w:rPr>
          <w:rFonts w:ascii="Times New Roman" w:hAnsi="Times New Roman" w:cs="Times New Roman"/>
          <w:sz w:val="24"/>
          <w:szCs w:val="24"/>
        </w:rPr>
        <w:t>(podľa návrhu PK Chémia).</w:t>
      </w:r>
    </w:p>
    <w:p w:rsidR="000B3EED" w:rsidRDefault="000B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3EED" w:rsidRDefault="000B3EED" w:rsidP="000B3EED">
      <w:pPr>
        <w:pStyle w:val="SSS2"/>
      </w:pPr>
      <w:r>
        <w:lastRenderedPageBreak/>
        <w:t>0.3 Chronológia projektu</w:t>
      </w:r>
    </w:p>
    <w:p w:rsidR="00F51306" w:rsidRDefault="00F51306" w:rsidP="000B3EED">
      <w:pPr>
        <w:pStyle w:val="SSS2"/>
      </w:pPr>
    </w:p>
    <w:tbl>
      <w:tblPr>
        <w:tblStyle w:val="Mkatabulky"/>
        <w:tblW w:w="0" w:type="auto"/>
        <w:tblLook w:val="04A0"/>
      </w:tblPr>
      <w:tblGrid>
        <w:gridCol w:w="648"/>
        <w:gridCol w:w="999"/>
        <w:gridCol w:w="1621"/>
        <w:gridCol w:w="5713"/>
      </w:tblGrid>
      <w:tr w:rsidR="00AD1297" w:rsidTr="00AD1297">
        <w:trPr>
          <w:trHeight w:val="435"/>
        </w:trPr>
        <w:tc>
          <w:tcPr>
            <w:tcW w:w="3268" w:type="dxa"/>
            <w:gridSpan w:val="3"/>
            <w:vAlign w:val="center"/>
          </w:tcPr>
          <w:p w:rsidR="00AD1297" w:rsidRPr="00AD1297" w:rsidRDefault="00AD1297" w:rsidP="00AD1297">
            <w:pPr>
              <w:pStyle w:val="Odstavecseseznamem"/>
              <w:spacing w:line="27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b/>
                <w:sz w:val="20"/>
                <w:szCs w:val="20"/>
              </w:rPr>
              <w:t>Obdobie</w:t>
            </w:r>
          </w:p>
        </w:tc>
        <w:tc>
          <w:tcPr>
            <w:tcW w:w="5713" w:type="dxa"/>
            <w:vAlign w:val="center"/>
          </w:tcPr>
          <w:p w:rsidR="00AD1297" w:rsidRPr="00AD1297" w:rsidRDefault="00AD1297" w:rsidP="00AD1297">
            <w:pPr>
              <w:pStyle w:val="Odstavecseseznamem"/>
              <w:spacing w:line="27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b/>
                <w:sz w:val="20"/>
                <w:szCs w:val="20"/>
              </w:rPr>
              <w:t>Náplň</w:t>
            </w:r>
          </w:p>
        </w:tc>
      </w:tr>
      <w:tr w:rsidR="0057344D" w:rsidTr="0057344D">
        <w:tc>
          <w:tcPr>
            <w:tcW w:w="648" w:type="dxa"/>
            <w:vMerge w:val="restart"/>
            <w:textDirection w:val="btLr"/>
            <w:vAlign w:val="center"/>
          </w:tcPr>
          <w:p w:rsidR="0057344D" w:rsidRPr="00AD1297" w:rsidRDefault="0057344D" w:rsidP="0057344D">
            <w:pPr>
              <w:pStyle w:val="Odstavecseseznamem"/>
              <w:spacing w:line="360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1. obdobie</w:t>
            </w:r>
          </w:p>
        </w:tc>
        <w:tc>
          <w:tcPr>
            <w:tcW w:w="999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2010</w:t>
            </w:r>
          </w:p>
        </w:tc>
        <w:tc>
          <w:tcPr>
            <w:tcW w:w="1621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marec</w:t>
            </w:r>
          </w:p>
        </w:tc>
        <w:tc>
          <w:tcPr>
            <w:tcW w:w="5713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príprava Projektu</w:t>
            </w:r>
          </w:p>
        </w:tc>
      </w:tr>
      <w:tr w:rsidR="0057344D" w:rsidTr="0057344D">
        <w:tc>
          <w:tcPr>
            <w:tcW w:w="648" w:type="dxa"/>
            <w:vMerge/>
            <w:vAlign w:val="center"/>
          </w:tcPr>
          <w:p w:rsidR="0057344D" w:rsidRPr="00AD1297" w:rsidRDefault="0057344D" w:rsidP="0057344D">
            <w:pPr>
              <w:pStyle w:val="Odstavecseseznamem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2010</w:t>
            </w:r>
          </w:p>
        </w:tc>
        <w:tc>
          <w:tcPr>
            <w:tcW w:w="1621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apríl</w:t>
            </w:r>
          </w:p>
        </w:tc>
        <w:tc>
          <w:tcPr>
            <w:tcW w:w="5713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realizácia 1. realizačného obdobia</w:t>
            </w:r>
          </w:p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AD1297">
              <w:rPr>
                <w:rFonts w:ascii="Arial Narrow" w:hAnsi="Arial Narrow" w:cs="Times New Roman"/>
                <w:sz w:val="20"/>
                <w:szCs w:val="20"/>
              </w:rPr>
              <w:t>výmaľovka</w:t>
            </w:r>
            <w:proofErr w:type="spellEnd"/>
            <w:r w:rsidRPr="00AD1297">
              <w:rPr>
                <w:rFonts w:ascii="Arial Narrow" w:hAnsi="Arial Narrow" w:cs="Times New Roman"/>
                <w:sz w:val="20"/>
                <w:szCs w:val="20"/>
              </w:rPr>
              <w:t>, odpad, okachličkovanie stolov, revízna kontrola plynových zariadení</w:t>
            </w:r>
          </w:p>
        </w:tc>
      </w:tr>
      <w:tr w:rsidR="0057344D" w:rsidTr="0057344D">
        <w:tc>
          <w:tcPr>
            <w:tcW w:w="648" w:type="dxa"/>
            <w:vMerge/>
            <w:vAlign w:val="center"/>
          </w:tcPr>
          <w:p w:rsidR="0057344D" w:rsidRPr="00AD1297" w:rsidRDefault="0057344D" w:rsidP="0057344D">
            <w:pPr>
              <w:pStyle w:val="Odstavecseseznamem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2010</w:t>
            </w:r>
          </w:p>
        </w:tc>
        <w:tc>
          <w:tcPr>
            <w:tcW w:w="1621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18. jún</w:t>
            </w:r>
          </w:p>
        </w:tc>
        <w:tc>
          <w:tcPr>
            <w:tcW w:w="5713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uzatvorenie 1. realizačného obdobia</w:t>
            </w:r>
          </w:p>
        </w:tc>
      </w:tr>
      <w:tr w:rsidR="0057344D" w:rsidTr="0057344D">
        <w:tc>
          <w:tcPr>
            <w:tcW w:w="648" w:type="dxa"/>
            <w:vMerge w:val="restart"/>
            <w:shd w:val="clear" w:color="auto" w:fill="D9D9D9" w:themeFill="background1" w:themeFillTint="99"/>
            <w:textDirection w:val="btLr"/>
            <w:vAlign w:val="center"/>
          </w:tcPr>
          <w:p w:rsidR="0057344D" w:rsidRPr="00AD1297" w:rsidRDefault="0057344D" w:rsidP="0057344D">
            <w:pPr>
              <w:pStyle w:val="Odstavecseseznamem"/>
              <w:spacing w:line="360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2. obdobie</w:t>
            </w:r>
          </w:p>
        </w:tc>
        <w:tc>
          <w:tcPr>
            <w:tcW w:w="999" w:type="dxa"/>
            <w:shd w:val="clear" w:color="auto" w:fill="D9D9D9" w:themeFill="background1" w:themeFillTint="99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2010</w:t>
            </w:r>
          </w:p>
        </w:tc>
        <w:tc>
          <w:tcPr>
            <w:tcW w:w="1621" w:type="dxa"/>
            <w:shd w:val="clear" w:color="auto" w:fill="D9D9D9" w:themeFill="background1" w:themeFillTint="99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30. november</w:t>
            </w:r>
          </w:p>
        </w:tc>
        <w:tc>
          <w:tcPr>
            <w:tcW w:w="5713" w:type="dxa"/>
            <w:shd w:val="clear" w:color="auto" w:fill="D9D9D9" w:themeFill="background1" w:themeFillTint="99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 xml:space="preserve">poukázanie sumy 500,00 € </w:t>
            </w:r>
            <w:proofErr w:type="spellStart"/>
            <w:r w:rsidRPr="00AD1297">
              <w:rPr>
                <w:rFonts w:ascii="Arial Narrow" w:hAnsi="Arial Narrow" w:cs="Times New Roman"/>
                <w:sz w:val="20"/>
                <w:szCs w:val="20"/>
              </w:rPr>
              <w:t>realizovateľovi</w:t>
            </w:r>
            <w:proofErr w:type="spellEnd"/>
            <w:r w:rsidRPr="00AD1297">
              <w:rPr>
                <w:rFonts w:ascii="Arial Narrow" w:hAnsi="Arial Narrow" w:cs="Times New Roman"/>
                <w:sz w:val="20"/>
                <w:szCs w:val="20"/>
              </w:rPr>
              <w:t xml:space="preserve"> Projektu</w:t>
            </w:r>
          </w:p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realizácia 2. realizačného obdobia</w:t>
            </w:r>
          </w:p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materiálová revitalizácia nábytkových častí, nákup laboratórnej techniky</w:t>
            </w:r>
          </w:p>
        </w:tc>
      </w:tr>
      <w:tr w:rsidR="0057344D" w:rsidTr="0057344D">
        <w:tc>
          <w:tcPr>
            <w:tcW w:w="648" w:type="dxa"/>
            <w:vMerge/>
            <w:shd w:val="clear" w:color="auto" w:fill="D9D9D9" w:themeFill="background1" w:themeFillTint="99"/>
            <w:vAlign w:val="center"/>
          </w:tcPr>
          <w:p w:rsidR="0057344D" w:rsidRPr="00AD1297" w:rsidRDefault="0057344D" w:rsidP="0057344D">
            <w:pPr>
              <w:pStyle w:val="Odstavecseseznamem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Tint="99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621" w:type="dxa"/>
            <w:shd w:val="clear" w:color="auto" w:fill="D9D9D9" w:themeFill="background1" w:themeFillTint="99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17. jún</w:t>
            </w:r>
          </w:p>
        </w:tc>
        <w:tc>
          <w:tcPr>
            <w:tcW w:w="5713" w:type="dxa"/>
            <w:shd w:val="clear" w:color="auto" w:fill="D9D9D9" w:themeFill="background1" w:themeFillTint="99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uzatvorenie 2. realizačného obdobia</w:t>
            </w:r>
          </w:p>
        </w:tc>
      </w:tr>
      <w:tr w:rsidR="0057344D" w:rsidTr="0057344D">
        <w:tc>
          <w:tcPr>
            <w:tcW w:w="648" w:type="dxa"/>
            <w:vMerge w:val="restart"/>
            <w:textDirection w:val="btLr"/>
            <w:vAlign w:val="center"/>
          </w:tcPr>
          <w:p w:rsidR="0057344D" w:rsidRPr="00AD1297" w:rsidRDefault="0057344D" w:rsidP="0057344D">
            <w:pPr>
              <w:pStyle w:val="Odstavecseseznamem"/>
              <w:spacing w:line="360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3. obdobie</w:t>
            </w:r>
          </w:p>
        </w:tc>
        <w:tc>
          <w:tcPr>
            <w:tcW w:w="999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621" w:type="dxa"/>
            <w:vAlign w:val="center"/>
          </w:tcPr>
          <w:p w:rsidR="0057344D" w:rsidRPr="00AD1297" w:rsidRDefault="0057344D" w:rsidP="00F51306">
            <w:pPr>
              <w:pStyle w:val="Odstavecseseznamem"/>
              <w:tabs>
                <w:tab w:val="left" w:pos="1230"/>
              </w:tabs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30. november</w:t>
            </w:r>
            <w:r w:rsidRPr="00AD1297">
              <w:rPr>
                <w:rFonts w:ascii="Arial Narrow" w:hAnsi="Arial Narrow" w:cs="Times New Roman"/>
                <w:sz w:val="20"/>
                <w:szCs w:val="20"/>
              </w:rPr>
              <w:tab/>
            </w:r>
          </w:p>
        </w:tc>
        <w:tc>
          <w:tcPr>
            <w:tcW w:w="5713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 xml:space="preserve">poukázanie sumy 500,00 € </w:t>
            </w:r>
            <w:proofErr w:type="spellStart"/>
            <w:r w:rsidRPr="00AD1297">
              <w:rPr>
                <w:rFonts w:ascii="Arial Narrow" w:hAnsi="Arial Narrow" w:cs="Times New Roman"/>
                <w:sz w:val="20"/>
                <w:szCs w:val="20"/>
              </w:rPr>
              <w:t>realizovateľovi</w:t>
            </w:r>
            <w:proofErr w:type="spellEnd"/>
            <w:r w:rsidRPr="00AD1297">
              <w:rPr>
                <w:rFonts w:ascii="Arial Narrow" w:hAnsi="Arial Narrow" w:cs="Times New Roman"/>
                <w:sz w:val="20"/>
                <w:szCs w:val="20"/>
              </w:rPr>
              <w:t xml:space="preserve"> Projektu</w:t>
            </w:r>
          </w:p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realizácia 3. realizačného obdobia</w:t>
            </w:r>
          </w:p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obohatenie súboru chemikálií</w:t>
            </w:r>
          </w:p>
        </w:tc>
      </w:tr>
      <w:tr w:rsidR="0057344D" w:rsidTr="0057344D">
        <w:tc>
          <w:tcPr>
            <w:tcW w:w="648" w:type="dxa"/>
            <w:vMerge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2012</w:t>
            </w:r>
          </w:p>
        </w:tc>
        <w:tc>
          <w:tcPr>
            <w:tcW w:w="1621" w:type="dxa"/>
            <w:vAlign w:val="center"/>
          </w:tcPr>
          <w:p w:rsidR="0057344D" w:rsidRPr="00AD1297" w:rsidRDefault="0057344D" w:rsidP="00F51306">
            <w:pPr>
              <w:pStyle w:val="Odstavecseseznamem"/>
              <w:tabs>
                <w:tab w:val="left" w:pos="1230"/>
              </w:tabs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31. máj</w:t>
            </w:r>
          </w:p>
        </w:tc>
        <w:tc>
          <w:tcPr>
            <w:tcW w:w="5713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uzatvorenie 3. realizačného obdobia</w:t>
            </w:r>
          </w:p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uzatvorenie realizácie Projektu</w:t>
            </w:r>
          </w:p>
        </w:tc>
      </w:tr>
      <w:tr w:rsidR="0057344D" w:rsidTr="0057344D">
        <w:tc>
          <w:tcPr>
            <w:tcW w:w="648" w:type="dxa"/>
            <w:vMerge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2012</w:t>
            </w:r>
          </w:p>
        </w:tc>
        <w:tc>
          <w:tcPr>
            <w:tcW w:w="1621" w:type="dxa"/>
            <w:vAlign w:val="center"/>
          </w:tcPr>
          <w:p w:rsidR="0057344D" w:rsidRPr="00AD1297" w:rsidRDefault="0057344D" w:rsidP="00F51306">
            <w:pPr>
              <w:pStyle w:val="Odstavecseseznamem"/>
              <w:tabs>
                <w:tab w:val="left" w:pos="1230"/>
              </w:tabs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jún</w:t>
            </w:r>
          </w:p>
        </w:tc>
        <w:tc>
          <w:tcPr>
            <w:tcW w:w="5713" w:type="dxa"/>
            <w:vAlign w:val="center"/>
          </w:tcPr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 xml:space="preserve">kontrola finančného hospodárenia </w:t>
            </w:r>
            <w:proofErr w:type="spellStart"/>
            <w:r w:rsidRPr="00AD1297">
              <w:rPr>
                <w:rFonts w:ascii="Arial Narrow" w:hAnsi="Arial Narrow" w:cs="Times New Roman"/>
                <w:sz w:val="20"/>
                <w:szCs w:val="20"/>
              </w:rPr>
              <w:t>zabezpečovateľmi</w:t>
            </w:r>
            <w:proofErr w:type="spellEnd"/>
            <w:r w:rsidRPr="00AD1297">
              <w:rPr>
                <w:rFonts w:ascii="Arial Narrow" w:hAnsi="Arial Narrow" w:cs="Times New Roman"/>
                <w:sz w:val="20"/>
                <w:szCs w:val="20"/>
              </w:rPr>
              <w:t xml:space="preserve"> Projektu</w:t>
            </w:r>
          </w:p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kontrola dosiahnutých výsledkov</w:t>
            </w:r>
          </w:p>
          <w:p w:rsidR="0057344D" w:rsidRPr="00AD1297" w:rsidRDefault="0057344D" w:rsidP="00F51306">
            <w:pPr>
              <w:pStyle w:val="Odstavecseseznamem"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kontrola naplnenia Projektu</w:t>
            </w:r>
          </w:p>
          <w:p w:rsidR="0057344D" w:rsidRPr="00AD1297" w:rsidRDefault="0057344D" w:rsidP="00AD1297">
            <w:pPr>
              <w:pStyle w:val="Odstavecseseznamem"/>
              <w:keepNext/>
              <w:spacing w:line="36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D1297">
              <w:rPr>
                <w:rFonts w:ascii="Arial Narrow" w:hAnsi="Arial Narrow" w:cs="Times New Roman"/>
                <w:sz w:val="20"/>
                <w:szCs w:val="20"/>
              </w:rPr>
              <w:t>ukončenie Projektu</w:t>
            </w:r>
          </w:p>
        </w:tc>
      </w:tr>
    </w:tbl>
    <w:p w:rsidR="00975560" w:rsidRPr="00AD1297" w:rsidRDefault="00AD1297" w:rsidP="00AD1297">
      <w:pPr>
        <w:pStyle w:val="Titulek"/>
        <w:spacing w:before="120"/>
        <w:rPr>
          <w:color w:val="000000" w:themeColor="text1"/>
        </w:rPr>
      </w:pPr>
      <w:r w:rsidRPr="00AD1297">
        <w:rPr>
          <w:color w:val="000000" w:themeColor="text1"/>
        </w:rPr>
        <w:t xml:space="preserve">Tab.  </w:t>
      </w:r>
      <w:r>
        <w:rPr>
          <w:color w:val="000000" w:themeColor="text1"/>
        </w:rPr>
        <w:t>4</w:t>
      </w:r>
      <w:r w:rsidRPr="00AD1297">
        <w:rPr>
          <w:color w:val="000000" w:themeColor="text1"/>
        </w:rPr>
        <w:t xml:space="preserve"> Chronologický rozpis pr</w:t>
      </w:r>
      <w:r w:rsidR="00692DC2">
        <w:rPr>
          <w:color w:val="000000" w:themeColor="text1"/>
        </w:rPr>
        <w:t>o</w:t>
      </w:r>
      <w:r w:rsidRPr="00AD1297">
        <w:rPr>
          <w:color w:val="000000" w:themeColor="text1"/>
        </w:rPr>
        <w:t>jektu</w:t>
      </w:r>
    </w:p>
    <w:p w:rsidR="00975560" w:rsidRDefault="00975560" w:rsidP="00876739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1306" w:rsidRDefault="00F51306" w:rsidP="00876739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1306" w:rsidRDefault="00F51306" w:rsidP="00876739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1306" w:rsidRDefault="00F51306" w:rsidP="00876739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1306" w:rsidRDefault="00F51306" w:rsidP="00876739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5560" w:rsidRDefault="00975560" w:rsidP="00876739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2662" w:rsidRDefault="00FE2662" w:rsidP="00D06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E2" w:rsidRDefault="004525E2" w:rsidP="00D06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E2" w:rsidRDefault="004525E2" w:rsidP="00D06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708" w:rsidRDefault="00573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C0E25" w:rsidRDefault="00A00708" w:rsidP="006C0E25">
      <w:pPr>
        <w:pStyle w:val="SSS2"/>
        <w:pBdr>
          <w:bottom w:val="single" w:sz="4" w:space="1" w:color="16165C" w:themeColor="accent6" w:themeShade="80"/>
        </w:pBdr>
      </w:pPr>
      <w:r>
        <w:lastRenderedPageBreak/>
        <w:t>0.</w:t>
      </w:r>
      <w:r w:rsidR="000B3EED">
        <w:t>4</w:t>
      </w:r>
      <w:r>
        <w:t xml:space="preserve"> </w:t>
      </w:r>
      <w:r w:rsidR="00DE2B17">
        <w:t>Dohoda o spolupráci</w:t>
      </w:r>
    </w:p>
    <w:p w:rsidR="006C0E25" w:rsidRDefault="006C0E25" w:rsidP="006C0E25">
      <w:pPr>
        <w:pStyle w:val="SSS2"/>
        <w:ind w:left="0"/>
        <w:jc w:val="center"/>
        <w:rPr>
          <w:i w:val="0"/>
        </w:rPr>
      </w:pPr>
    </w:p>
    <w:tbl>
      <w:tblPr>
        <w:tblStyle w:val="Mkatabulky"/>
        <w:tblW w:w="0" w:type="auto"/>
        <w:tblLook w:val="04A0"/>
      </w:tblPr>
      <w:tblGrid>
        <w:gridCol w:w="4452"/>
        <w:gridCol w:w="4453"/>
      </w:tblGrid>
      <w:tr w:rsidR="004117BF" w:rsidTr="004117BF">
        <w:trPr>
          <w:trHeight w:val="1472"/>
        </w:trPr>
        <w:tc>
          <w:tcPr>
            <w:tcW w:w="4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117BF" w:rsidRPr="003B7EE6" w:rsidRDefault="004117BF" w:rsidP="00AC3D13">
            <w:pPr>
              <w:spacing w:line="36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EE6">
              <w:rPr>
                <w:rFonts w:ascii="Arial Narrow" w:hAnsi="Arial Narrow" w:cs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476375" cy="659969"/>
                  <wp:effectExtent l="19050" t="0" r="9525" b="0"/>
                  <wp:docPr id="3" name="obrázek 1" descr="C:\Documents and Settings\Michal\Desktop\srgt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ichal\Desktop\srgt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78" cy="66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EE6" w:rsidRPr="003B7EE6" w:rsidRDefault="003B7EE6" w:rsidP="003B7EE6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3B7EE6">
              <w:rPr>
                <w:rFonts w:ascii="Arial Narrow" w:hAnsi="Arial Narrow" w:cs="Times New Roman"/>
                <w:sz w:val="20"/>
                <w:szCs w:val="20"/>
              </w:rPr>
              <w:t>Študentská rada</w:t>
            </w:r>
            <w:r w:rsidRPr="003B7EE6">
              <w:rPr>
                <w:rFonts w:ascii="Arial Narrow" w:hAnsi="Arial Narrow" w:cs="Times New Roman"/>
                <w:sz w:val="20"/>
                <w:szCs w:val="20"/>
              </w:rPr>
              <w:br/>
              <w:t>Gymnázia, Trebišovská 12 v Košiciach</w:t>
            </w:r>
          </w:p>
        </w:tc>
        <w:tc>
          <w:tcPr>
            <w:tcW w:w="4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117BF" w:rsidRPr="003B7EE6" w:rsidRDefault="004117BF" w:rsidP="00AC3D13">
            <w:pPr>
              <w:spacing w:line="36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EE6">
              <w:rPr>
                <w:rFonts w:ascii="Arial Narrow" w:hAnsi="Arial Narrow" w:cs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899808" cy="685800"/>
                  <wp:effectExtent l="19050" t="0" r="0" b="0"/>
                  <wp:docPr id="5" name="Picture 1" descr="D:\MD\School\Subjects\Informatika\Obrázky, pozadia\Computer\l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D\School\Subjects\Informatika\Obrázky, pozadia\Computer\l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0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EE6" w:rsidRPr="003B7EE6" w:rsidRDefault="003B7EE6" w:rsidP="003B7EE6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3B7EE6">
              <w:rPr>
                <w:rFonts w:ascii="Arial Narrow" w:hAnsi="Arial Narrow" w:cs="Times New Roman"/>
                <w:sz w:val="20"/>
                <w:szCs w:val="20"/>
              </w:rPr>
              <w:t>Gymnázium</w:t>
            </w:r>
            <w:r w:rsidRPr="003B7EE6">
              <w:rPr>
                <w:rFonts w:ascii="Arial Narrow" w:hAnsi="Arial Narrow" w:cs="Times New Roman"/>
                <w:sz w:val="20"/>
                <w:szCs w:val="20"/>
              </w:rPr>
              <w:br/>
              <w:t>Trebišovská 12 v Košiciach</w:t>
            </w:r>
          </w:p>
        </w:tc>
      </w:tr>
    </w:tbl>
    <w:p w:rsidR="00A00708" w:rsidRDefault="00A00708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D13" w:rsidRDefault="00AC3D13" w:rsidP="003B7EE6">
      <w:pPr>
        <w:spacing w:line="360" w:lineRule="auto"/>
        <w:jc w:val="center"/>
        <w:rPr>
          <w:rFonts w:ascii="Arial" w:hAnsi="Arial" w:cs="Arial"/>
          <w:b/>
          <w:spacing w:val="60"/>
          <w:sz w:val="24"/>
          <w:szCs w:val="24"/>
          <w:u w:val="single"/>
        </w:rPr>
      </w:pPr>
    </w:p>
    <w:p w:rsidR="00FC40AE" w:rsidRPr="00DE2B17" w:rsidRDefault="003B7EE6" w:rsidP="003B7EE6">
      <w:pPr>
        <w:spacing w:line="360" w:lineRule="auto"/>
        <w:jc w:val="center"/>
        <w:rPr>
          <w:rFonts w:ascii="Arial" w:hAnsi="Arial" w:cs="Arial"/>
          <w:b/>
          <w:spacing w:val="60"/>
          <w:sz w:val="30"/>
          <w:szCs w:val="30"/>
          <w:u w:val="single"/>
        </w:rPr>
      </w:pPr>
      <w:r w:rsidRPr="00DE2B17">
        <w:rPr>
          <w:rFonts w:ascii="Arial" w:hAnsi="Arial" w:cs="Arial"/>
          <w:b/>
          <w:spacing w:val="60"/>
          <w:sz w:val="30"/>
          <w:szCs w:val="30"/>
          <w:u w:val="single"/>
        </w:rPr>
        <w:t>DOHODA O SPOLUPRÁCI</w:t>
      </w:r>
    </w:p>
    <w:p w:rsidR="00DE2B17" w:rsidRDefault="00AC3D13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40AE" w:rsidRDefault="00DE2B17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3D13">
        <w:rPr>
          <w:rFonts w:ascii="Times New Roman" w:hAnsi="Times New Roman" w:cs="Times New Roman"/>
          <w:sz w:val="24"/>
          <w:szCs w:val="24"/>
        </w:rPr>
        <w:t>Dolupodpísané</w:t>
      </w:r>
      <w:proofErr w:type="spellEnd"/>
      <w:r w:rsidR="00AC3D13">
        <w:rPr>
          <w:rFonts w:ascii="Times New Roman" w:hAnsi="Times New Roman" w:cs="Times New Roman"/>
          <w:sz w:val="24"/>
          <w:szCs w:val="24"/>
        </w:rPr>
        <w:t xml:space="preserve"> strany, teda strany</w:t>
      </w:r>
      <w:r w:rsidR="00E11A9F">
        <w:rPr>
          <w:rFonts w:ascii="Times New Roman" w:hAnsi="Times New Roman" w:cs="Times New Roman"/>
          <w:sz w:val="24"/>
          <w:szCs w:val="24"/>
        </w:rPr>
        <w:t xml:space="preserve"> zúčastňujúce sa</w:t>
      </w:r>
      <w:r w:rsidR="00AC3D13">
        <w:rPr>
          <w:rFonts w:ascii="Times New Roman" w:hAnsi="Times New Roman" w:cs="Times New Roman"/>
          <w:sz w:val="24"/>
          <w:szCs w:val="24"/>
        </w:rPr>
        <w:t xml:space="preserve"> na Projekte revitalizácie chemického laboratória</w:t>
      </w:r>
      <w:r>
        <w:rPr>
          <w:rFonts w:ascii="Times New Roman" w:hAnsi="Times New Roman" w:cs="Times New Roman"/>
          <w:sz w:val="24"/>
          <w:szCs w:val="24"/>
        </w:rPr>
        <w:t xml:space="preserve"> (Projekt)</w:t>
      </w:r>
      <w:r w:rsidR="00C01B59">
        <w:rPr>
          <w:rFonts w:ascii="Times New Roman" w:hAnsi="Times New Roman" w:cs="Times New Roman"/>
          <w:sz w:val="24"/>
          <w:szCs w:val="24"/>
        </w:rPr>
        <w:t>, ktorého Dohoda o spolupráci je súčasťou,</w:t>
      </w:r>
      <w:r w:rsidR="00AC3D13">
        <w:rPr>
          <w:rFonts w:ascii="Times New Roman" w:hAnsi="Times New Roman" w:cs="Times New Roman"/>
          <w:sz w:val="24"/>
          <w:szCs w:val="24"/>
        </w:rPr>
        <w:t xml:space="preserve"> – Študentská rada a vedenie školy Gymnázia, Trebišovská 12 v Košiciach týmto uzatvárajú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C3D13">
        <w:rPr>
          <w:rFonts w:ascii="Times New Roman" w:hAnsi="Times New Roman" w:cs="Times New Roman"/>
          <w:sz w:val="24"/>
          <w:szCs w:val="24"/>
        </w:rPr>
        <w:t xml:space="preserve">ohodu </w:t>
      </w:r>
      <w:r>
        <w:rPr>
          <w:rFonts w:ascii="Times New Roman" w:hAnsi="Times New Roman" w:cs="Times New Roman"/>
          <w:sz w:val="24"/>
          <w:szCs w:val="24"/>
        </w:rPr>
        <w:t xml:space="preserve">o spolupráci na Projekte, a tým sa zaväzujú plniť záväzky, pre jednotlivé strany z neho </w:t>
      </w:r>
      <w:r w:rsidR="00304FB0">
        <w:rPr>
          <w:rFonts w:ascii="Times New Roman" w:hAnsi="Times New Roman" w:cs="Times New Roman"/>
          <w:sz w:val="24"/>
          <w:szCs w:val="24"/>
        </w:rPr>
        <w:t xml:space="preserve">vyplývajúce, predovšetkým, plnenie realizácie dohodnutého finančného zabezpečenia </w:t>
      </w:r>
      <w:r w:rsidR="00CB56BE">
        <w:rPr>
          <w:rFonts w:ascii="Times New Roman" w:hAnsi="Times New Roman" w:cs="Times New Roman"/>
          <w:sz w:val="24"/>
          <w:szCs w:val="24"/>
        </w:rPr>
        <w:t>v záväznom termíne vyplývajúceho z Projektu (Tab. 2).</w:t>
      </w:r>
    </w:p>
    <w:p w:rsidR="00FC40AE" w:rsidRDefault="008B16DD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Taktiež sa zaväzujú akceptovať celý obsah písomného spracovania (podkladu) Projektu ako jeho záv</w:t>
      </w:r>
      <w:r w:rsidR="005845B0">
        <w:rPr>
          <w:rFonts w:ascii="Times New Roman" w:hAnsi="Times New Roman" w:cs="Times New Roman"/>
          <w:sz w:val="24"/>
          <w:szCs w:val="24"/>
        </w:rPr>
        <w:t xml:space="preserve">äzný zámer so záväznými cieľmi, a tie v plnom rozsahu akceptovať a v taxatívnom konsenze s Projektom realizovať. </w:t>
      </w:r>
    </w:p>
    <w:p w:rsidR="00FC40AE" w:rsidRDefault="00C01B59" w:rsidP="00106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Podpísané strany sa zaväzujú v prípade splnenia všetkých podmienok Projektu poskytnúť súhrnnú sumu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realizovateľovi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a podporovať realizáciu Projektu počas celých troch rokov trvania projektu.</w:t>
      </w:r>
    </w:p>
    <w:p w:rsidR="002E4D61" w:rsidRDefault="002E4D61" w:rsidP="00C01B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0AE" w:rsidRDefault="00C01B59" w:rsidP="00C01B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>. marca 2010</w:t>
      </w:r>
    </w:p>
    <w:p w:rsidR="00C01B59" w:rsidRDefault="00C01B59" w:rsidP="00C01B59">
      <w:pPr>
        <w:spacing w:after="36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Mkatabulky"/>
        <w:tblW w:w="9100" w:type="dxa"/>
        <w:tblLook w:val="04A0"/>
      </w:tblPr>
      <w:tblGrid>
        <w:gridCol w:w="3033"/>
        <w:gridCol w:w="3033"/>
        <w:gridCol w:w="3034"/>
      </w:tblGrid>
      <w:tr w:rsidR="00C01B59" w:rsidTr="00C01B59">
        <w:trPr>
          <w:trHeight w:val="666"/>
        </w:trPr>
        <w:tc>
          <w:tcPr>
            <w:tcW w:w="30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1B59" w:rsidRPr="00C01B59" w:rsidRDefault="00C01B59" w:rsidP="00C01B59">
            <w:pPr>
              <w:spacing w:before="120" w:line="36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C01B59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Stanislava </w:t>
            </w:r>
            <w:proofErr w:type="spellStart"/>
            <w:r w:rsidRPr="00C01B59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Mazáková</w:t>
            </w:r>
            <w:proofErr w:type="spellEnd"/>
            <w:r w:rsidRPr="00C01B59">
              <w:rPr>
                <w:rFonts w:ascii="Arial Narrow" w:hAnsi="Arial Narrow" w:cs="Times New Roman"/>
                <w:i/>
                <w:sz w:val="20"/>
                <w:szCs w:val="20"/>
              </w:rPr>
              <w:br/>
              <w:t>za Študentskú radu</w:t>
            </w:r>
          </w:p>
        </w:tc>
        <w:tc>
          <w:tcPr>
            <w:tcW w:w="30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1B59" w:rsidRPr="00C01B59" w:rsidRDefault="00C01B59" w:rsidP="00C01B59">
            <w:pPr>
              <w:spacing w:before="120" w:line="36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1B59" w:rsidRPr="00C01B59" w:rsidRDefault="00C01B59" w:rsidP="00C01B59">
            <w:pPr>
              <w:spacing w:before="120" w:line="36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C01B59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Mgr. Ján </w:t>
            </w:r>
            <w:proofErr w:type="spellStart"/>
            <w:r w:rsidRPr="00C01B59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Buday</w:t>
            </w:r>
            <w:proofErr w:type="spellEnd"/>
            <w:r w:rsidRPr="00C01B59">
              <w:rPr>
                <w:rFonts w:ascii="Arial Narrow" w:hAnsi="Arial Narrow" w:cs="Times New Roman"/>
                <w:i/>
                <w:sz w:val="20"/>
                <w:szCs w:val="20"/>
              </w:rPr>
              <w:br/>
              <w:t>za vedenie školy</w:t>
            </w:r>
          </w:p>
        </w:tc>
      </w:tr>
    </w:tbl>
    <w:p w:rsidR="001066B0" w:rsidRPr="001066B0" w:rsidRDefault="001066B0" w:rsidP="00F229C9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66B0" w:rsidRPr="001066B0" w:rsidSect="008D53C5">
      <w:pgSz w:w="11906" w:h="16838" w:code="9"/>
      <w:pgMar w:top="1440" w:right="1440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95" w:rsidRDefault="008B5F95" w:rsidP="00D007FA">
      <w:pPr>
        <w:spacing w:after="0" w:line="240" w:lineRule="auto"/>
      </w:pPr>
      <w:r>
        <w:separator/>
      </w:r>
    </w:p>
  </w:endnote>
  <w:endnote w:type="continuationSeparator" w:id="0">
    <w:p w:rsidR="008B5F95" w:rsidRDefault="008B5F95" w:rsidP="00D0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81717"/>
      <w:docPartObj>
        <w:docPartGallery w:val="Page Numbers (Bottom of Page)"/>
        <w:docPartUnique/>
      </w:docPartObj>
    </w:sdtPr>
    <w:sdtContent>
      <w:p w:rsidR="0057344D" w:rsidRDefault="00886FD8">
        <w:pPr>
          <w:pStyle w:val="Zpat"/>
          <w:jc w:val="right"/>
        </w:pPr>
        <w:fldSimple w:instr=" PAGE   \* MERGEFORMAT ">
          <w:r w:rsidR="00A47DAB">
            <w:rPr>
              <w:noProof/>
            </w:rPr>
            <w:t>9</w:t>
          </w:r>
        </w:fldSimple>
      </w:p>
    </w:sdtContent>
  </w:sdt>
  <w:p w:rsidR="0057344D" w:rsidRDefault="005734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4D" w:rsidRDefault="0057344D">
    <w:pPr>
      <w:pStyle w:val="Zpat"/>
      <w:jc w:val="right"/>
    </w:pPr>
  </w:p>
  <w:p w:rsidR="0057344D" w:rsidRDefault="005734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95" w:rsidRDefault="008B5F95" w:rsidP="00D007FA">
      <w:pPr>
        <w:spacing w:after="0" w:line="240" w:lineRule="auto"/>
      </w:pPr>
      <w:r>
        <w:separator/>
      </w:r>
    </w:p>
  </w:footnote>
  <w:footnote w:type="continuationSeparator" w:id="0">
    <w:p w:rsidR="008B5F95" w:rsidRDefault="008B5F95" w:rsidP="00D0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A" w:rsidRDefault="00D007FA" w:rsidP="00D007FA">
    <w:pPr>
      <w:pStyle w:val="Zhlav"/>
      <w:tabs>
        <w:tab w:val="clear" w:pos="4513"/>
        <w:tab w:val="clear" w:pos="9026"/>
        <w:tab w:val="center" w:pos="4382"/>
        <w:tab w:val="left" w:pos="7560"/>
      </w:tabs>
    </w:pPr>
    <w:r w:rsidRPr="00D007FA">
      <w:rPr>
        <w:rFonts w:ascii="Arial Narrow" w:hAnsi="Arial Narrow"/>
        <w:sz w:val="14"/>
        <w:szCs w:val="14"/>
      </w:rPr>
      <w:t>Študentská rada</w:t>
    </w:r>
    <w:r>
      <w:rPr>
        <w:rFonts w:ascii="Arial Narrow" w:hAnsi="Arial Narrow"/>
        <w:sz w:val="14"/>
        <w:szCs w:val="14"/>
      </w:rPr>
      <w:tab/>
    </w:r>
    <w:r w:rsidRPr="00D007FA">
      <w:rPr>
        <w:rFonts w:ascii="Arial Narrow" w:hAnsi="Arial Narrow"/>
        <w:b/>
        <w:sz w:val="14"/>
        <w:szCs w:val="14"/>
      </w:rPr>
      <w:t>PROJEKT REVITALIZÁCIE CHEMICKÉHO LABORATÓRIA</w:t>
    </w:r>
    <w:r>
      <w:rPr>
        <w:rFonts w:ascii="Arial Narrow" w:hAnsi="Arial Narrow"/>
        <w:b/>
        <w:sz w:val="14"/>
        <w:szCs w:val="14"/>
      </w:rPr>
      <w:tab/>
    </w:r>
    <w:r w:rsidRPr="00F56E89">
      <w:rPr>
        <w:rFonts w:ascii="Arial Narrow" w:hAnsi="Arial Narrow"/>
        <w:sz w:val="14"/>
        <w:szCs w:val="14"/>
      </w:rPr>
      <w:t xml:space="preserve">Michal </w:t>
    </w:r>
    <w:proofErr w:type="spellStart"/>
    <w:r w:rsidRPr="00F56E89">
      <w:rPr>
        <w:rFonts w:ascii="Arial Narrow" w:hAnsi="Arial Narrow"/>
        <w:sz w:val="14"/>
        <w:szCs w:val="14"/>
      </w:rPr>
      <w:t>Kerestúri</w:t>
    </w:r>
    <w:proofErr w:type="spellEnd"/>
    <w:r w:rsidRPr="00D007FA">
      <w:rPr>
        <w:rFonts w:ascii="Arial Narrow" w:hAnsi="Arial Narrow"/>
        <w:sz w:val="14"/>
        <w:szCs w:val="14"/>
      </w:rPr>
      <w:br/>
      <w:t>Gymnázium, Trebišovská 12 v Košiciach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62D"/>
    <w:multiLevelType w:val="hybridMultilevel"/>
    <w:tmpl w:val="86CCC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F2A10"/>
    <w:multiLevelType w:val="hybridMultilevel"/>
    <w:tmpl w:val="DF4E4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5182A"/>
    <w:multiLevelType w:val="hybridMultilevel"/>
    <w:tmpl w:val="70BEC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D2F0F"/>
    <w:rsid w:val="000261FF"/>
    <w:rsid w:val="00031345"/>
    <w:rsid w:val="0004473D"/>
    <w:rsid w:val="00071E63"/>
    <w:rsid w:val="000755B7"/>
    <w:rsid w:val="000809FD"/>
    <w:rsid w:val="000B1211"/>
    <w:rsid w:val="000B3EED"/>
    <w:rsid w:val="000C3EAB"/>
    <w:rsid w:val="001066B0"/>
    <w:rsid w:val="00144463"/>
    <w:rsid w:val="001543AC"/>
    <w:rsid w:val="001A0DA0"/>
    <w:rsid w:val="002044F0"/>
    <w:rsid w:val="002B44F2"/>
    <w:rsid w:val="002E4D61"/>
    <w:rsid w:val="002F5C00"/>
    <w:rsid w:val="00304FB0"/>
    <w:rsid w:val="00320D4A"/>
    <w:rsid w:val="003273F6"/>
    <w:rsid w:val="0036157D"/>
    <w:rsid w:val="00381D13"/>
    <w:rsid w:val="003B7EE6"/>
    <w:rsid w:val="003C3A51"/>
    <w:rsid w:val="003D4455"/>
    <w:rsid w:val="003D58F7"/>
    <w:rsid w:val="003D6CAF"/>
    <w:rsid w:val="004117BF"/>
    <w:rsid w:val="004525E2"/>
    <w:rsid w:val="00484F39"/>
    <w:rsid w:val="005211D7"/>
    <w:rsid w:val="00532700"/>
    <w:rsid w:val="00541D26"/>
    <w:rsid w:val="00566C13"/>
    <w:rsid w:val="0057344D"/>
    <w:rsid w:val="005831ED"/>
    <w:rsid w:val="005845B0"/>
    <w:rsid w:val="005B0A1D"/>
    <w:rsid w:val="005B25E1"/>
    <w:rsid w:val="005B3A9E"/>
    <w:rsid w:val="00605DC0"/>
    <w:rsid w:val="00616F8C"/>
    <w:rsid w:val="00692DC2"/>
    <w:rsid w:val="006B311A"/>
    <w:rsid w:val="006B4059"/>
    <w:rsid w:val="006C0E25"/>
    <w:rsid w:val="006D2F0F"/>
    <w:rsid w:val="00712A24"/>
    <w:rsid w:val="00716C87"/>
    <w:rsid w:val="00762460"/>
    <w:rsid w:val="0077543F"/>
    <w:rsid w:val="00787A6E"/>
    <w:rsid w:val="007A0ADE"/>
    <w:rsid w:val="007E0F28"/>
    <w:rsid w:val="007F2C49"/>
    <w:rsid w:val="00817FAC"/>
    <w:rsid w:val="008323B6"/>
    <w:rsid w:val="00835082"/>
    <w:rsid w:val="00837359"/>
    <w:rsid w:val="008558DF"/>
    <w:rsid w:val="00876739"/>
    <w:rsid w:val="00886FD8"/>
    <w:rsid w:val="008B16DD"/>
    <w:rsid w:val="008B5F95"/>
    <w:rsid w:val="008D53C5"/>
    <w:rsid w:val="009208CB"/>
    <w:rsid w:val="009660B8"/>
    <w:rsid w:val="00975560"/>
    <w:rsid w:val="009B710E"/>
    <w:rsid w:val="00A00708"/>
    <w:rsid w:val="00A00961"/>
    <w:rsid w:val="00A13DDE"/>
    <w:rsid w:val="00A47DAB"/>
    <w:rsid w:val="00A732F7"/>
    <w:rsid w:val="00AC3D13"/>
    <w:rsid w:val="00AD1297"/>
    <w:rsid w:val="00B006B7"/>
    <w:rsid w:val="00B243DB"/>
    <w:rsid w:val="00B325C1"/>
    <w:rsid w:val="00B420C6"/>
    <w:rsid w:val="00B531A2"/>
    <w:rsid w:val="00B5726F"/>
    <w:rsid w:val="00B92D90"/>
    <w:rsid w:val="00BA4564"/>
    <w:rsid w:val="00C01B59"/>
    <w:rsid w:val="00C75310"/>
    <w:rsid w:val="00C75E9C"/>
    <w:rsid w:val="00C76B1C"/>
    <w:rsid w:val="00CB56BE"/>
    <w:rsid w:val="00CD234D"/>
    <w:rsid w:val="00CD4921"/>
    <w:rsid w:val="00D007FA"/>
    <w:rsid w:val="00D06E84"/>
    <w:rsid w:val="00D14F2D"/>
    <w:rsid w:val="00D232C9"/>
    <w:rsid w:val="00D34A35"/>
    <w:rsid w:val="00D43FB9"/>
    <w:rsid w:val="00D51782"/>
    <w:rsid w:val="00D90924"/>
    <w:rsid w:val="00DC6CEB"/>
    <w:rsid w:val="00DD1983"/>
    <w:rsid w:val="00DE28D4"/>
    <w:rsid w:val="00DE2B17"/>
    <w:rsid w:val="00DF74A3"/>
    <w:rsid w:val="00E11A9F"/>
    <w:rsid w:val="00E22833"/>
    <w:rsid w:val="00E8263A"/>
    <w:rsid w:val="00EB1320"/>
    <w:rsid w:val="00ED56B3"/>
    <w:rsid w:val="00F00797"/>
    <w:rsid w:val="00F14D60"/>
    <w:rsid w:val="00F22361"/>
    <w:rsid w:val="00F229C9"/>
    <w:rsid w:val="00F2779F"/>
    <w:rsid w:val="00F43C14"/>
    <w:rsid w:val="00F51306"/>
    <w:rsid w:val="00F56E89"/>
    <w:rsid w:val="00F65B27"/>
    <w:rsid w:val="00F75EB8"/>
    <w:rsid w:val="00FA0E5A"/>
    <w:rsid w:val="00FA6501"/>
    <w:rsid w:val="00FC40AE"/>
    <w:rsid w:val="00FD69B7"/>
    <w:rsid w:val="00FE2662"/>
    <w:rsid w:val="00FE4FFD"/>
    <w:rsid w:val="00FF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8CB"/>
  </w:style>
  <w:style w:type="paragraph" w:styleId="Nadpis1">
    <w:name w:val="heading 1"/>
    <w:basedOn w:val="Normln"/>
    <w:next w:val="Normln"/>
    <w:link w:val="Nadpis1Char"/>
    <w:uiPriority w:val="9"/>
    <w:qFormat/>
    <w:rsid w:val="00541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9872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D2F0F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D2F0F"/>
    <w:rPr>
      <w:rFonts w:eastAsiaTheme="minorEastAsi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F0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41D26"/>
    <w:rPr>
      <w:rFonts w:asciiTheme="majorHAnsi" w:eastAsiaTheme="majorEastAsia" w:hAnsiTheme="majorHAnsi" w:cstheme="majorBidi"/>
      <w:b/>
      <w:bCs/>
      <w:color w:val="009872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51782"/>
    <w:pPr>
      <w:numPr>
        <w:ilvl w:val="1"/>
      </w:numPr>
    </w:pPr>
    <w:rPr>
      <w:rFonts w:asciiTheme="majorHAnsi" w:eastAsiaTheme="majorEastAsia" w:hAnsiTheme="majorHAnsi" w:cstheme="majorBidi"/>
      <w:i/>
      <w:iCs/>
      <w:color w:val="00CC99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51782"/>
    <w:rPr>
      <w:rFonts w:asciiTheme="majorHAnsi" w:eastAsiaTheme="majorEastAsia" w:hAnsiTheme="majorHAnsi" w:cstheme="majorBidi"/>
      <w:i/>
      <w:iCs/>
      <w:color w:val="00CC99" w:themeColor="accent1"/>
      <w:spacing w:val="15"/>
      <w:sz w:val="24"/>
      <w:szCs w:val="24"/>
    </w:rPr>
  </w:style>
  <w:style w:type="paragraph" w:customStyle="1" w:styleId="Style1">
    <w:name w:val="Style1"/>
    <w:basedOn w:val="Nadpis1"/>
    <w:link w:val="Style1Char"/>
    <w:qFormat/>
    <w:rsid w:val="00D51782"/>
    <w:rPr>
      <w:rFonts w:ascii="Times New Roman" w:hAnsi="Times New Roman" w:cs="Times New Roman"/>
    </w:rPr>
  </w:style>
  <w:style w:type="paragraph" w:customStyle="1" w:styleId="SSS">
    <w:name w:val="SSS"/>
    <w:basedOn w:val="Style1"/>
    <w:link w:val="SSSChar"/>
    <w:qFormat/>
    <w:rsid w:val="00D51782"/>
    <w:rPr>
      <w:color w:val="191966" w:themeColor="accent2" w:themeShade="80"/>
    </w:rPr>
  </w:style>
  <w:style w:type="character" w:customStyle="1" w:styleId="Style1Char">
    <w:name w:val="Style1 Char"/>
    <w:basedOn w:val="Nadpis1Char"/>
    <w:link w:val="Style1"/>
    <w:rsid w:val="00D51782"/>
    <w:rPr>
      <w:rFonts w:ascii="Times New Roman" w:hAnsi="Times New Roman" w:cs="Times New Roman"/>
      <w:b/>
      <w:bCs/>
    </w:rPr>
  </w:style>
  <w:style w:type="paragraph" w:customStyle="1" w:styleId="SSS2">
    <w:name w:val="SSS2"/>
    <w:basedOn w:val="Podtitul"/>
    <w:link w:val="SSS2Char"/>
    <w:qFormat/>
    <w:rsid w:val="00D51782"/>
    <w:pPr>
      <w:ind w:left="709"/>
    </w:pPr>
    <w:rPr>
      <w:rFonts w:ascii="Times New Roman" w:hAnsi="Times New Roman" w:cs="Times New Roman"/>
      <w:color w:val="191966" w:themeColor="accent2" w:themeShade="80"/>
    </w:rPr>
  </w:style>
  <w:style w:type="character" w:customStyle="1" w:styleId="SSSChar">
    <w:name w:val="SSS Char"/>
    <w:basedOn w:val="Style1Char"/>
    <w:link w:val="SSS"/>
    <w:rsid w:val="00D51782"/>
    <w:rPr>
      <w:color w:val="191966" w:themeColor="accent2" w:themeShade="80"/>
    </w:rPr>
  </w:style>
  <w:style w:type="paragraph" w:styleId="Titulek">
    <w:name w:val="caption"/>
    <w:basedOn w:val="Normln"/>
    <w:next w:val="Normln"/>
    <w:uiPriority w:val="35"/>
    <w:unhideWhenUsed/>
    <w:qFormat/>
    <w:rsid w:val="00B92D90"/>
    <w:pPr>
      <w:spacing w:line="240" w:lineRule="auto"/>
    </w:pPr>
    <w:rPr>
      <w:b/>
      <w:bCs/>
      <w:color w:val="00CC99" w:themeColor="accent1"/>
      <w:sz w:val="18"/>
      <w:szCs w:val="18"/>
    </w:rPr>
  </w:style>
  <w:style w:type="character" w:customStyle="1" w:styleId="SSS2Char">
    <w:name w:val="SSS2 Char"/>
    <w:basedOn w:val="PodtitulChar"/>
    <w:link w:val="SSS2"/>
    <w:rsid w:val="00D51782"/>
    <w:rPr>
      <w:rFonts w:ascii="Times New Roman" w:hAnsi="Times New Roman" w:cs="Times New Roman"/>
      <w:color w:val="191966" w:themeColor="accent2" w:themeShade="80"/>
    </w:rPr>
  </w:style>
  <w:style w:type="table" w:styleId="Mkatabulky">
    <w:name w:val="Table Grid"/>
    <w:basedOn w:val="Normlntabulka"/>
    <w:uiPriority w:val="59"/>
    <w:rsid w:val="00D23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009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0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7FA"/>
  </w:style>
  <w:style w:type="paragraph" w:styleId="Zpat">
    <w:name w:val="footer"/>
    <w:basedOn w:val="Normln"/>
    <w:link w:val="ZpatChar"/>
    <w:uiPriority w:val="99"/>
    <w:unhideWhenUsed/>
    <w:rsid w:val="00D00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na2">
  <a:themeElements>
    <a:clrScheme name="">
      <a:dk1>
        <a:srgbClr val="000000"/>
      </a:dk1>
      <a:lt1>
        <a:srgbClr val="C0C0C0"/>
      </a:lt1>
      <a:dk2>
        <a:srgbClr val="000000"/>
      </a:dk2>
      <a:lt2>
        <a:srgbClr val="808080"/>
      </a:lt2>
      <a:accent1>
        <a:srgbClr val="00CC99"/>
      </a:accent1>
      <a:accent2>
        <a:srgbClr val="3333CC"/>
      </a:accent2>
      <a:accent3>
        <a:srgbClr val="DCDCDC"/>
      </a:accent3>
      <a:accent4>
        <a:srgbClr val="000000"/>
      </a:accent4>
      <a:accent5>
        <a:srgbClr val="AAE2CA"/>
      </a:accent5>
      <a:accent6>
        <a:srgbClr val="2D2DB9"/>
      </a:accent6>
      <a:hlink>
        <a:srgbClr val="CCCCFF"/>
      </a:hlink>
      <a:folHlink>
        <a:srgbClr val="B2B2B2"/>
      </a:folHlink>
    </a:clrScheme>
    <a:fontScheme name="Office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>Projekt revitalizácie chemického laboratória (ďalej len Projekt) rieši akútny stav pracovného prostredia, stien, pracovných laboratórnych stolov, zariadenia, vybavenia, obohatenia vyučovacieho procesu novými pokusmi. Obsahuje plán obnovy a návrh riešenia finančného zabezpečenia realizácie Projektu.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73DF35-298F-489E-9130-BD562C6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9</Pages>
  <Words>1261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revitalizácie chemického laboratória</vt:lpstr>
      <vt:lpstr>Projekt revitalizácie chemického laboratória</vt:lpstr>
    </vt:vector>
  </TitlesOfParts>
  <Company>pre Študentskú radu Gymnázia, Trebišovská 12, Košice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revitalizácie chemického laboratória</dc:title>
  <dc:creator>Michal Kerestúri</dc:creator>
  <cp:lastModifiedBy>xGPH</cp:lastModifiedBy>
  <cp:revision>78</cp:revision>
  <cp:lastPrinted>2010-04-08T12:36:00Z</cp:lastPrinted>
  <dcterms:created xsi:type="dcterms:W3CDTF">2010-01-28T18:44:00Z</dcterms:created>
  <dcterms:modified xsi:type="dcterms:W3CDTF">2010-04-10T10:19:00Z</dcterms:modified>
</cp:coreProperties>
</file>